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9F755" w14:textId="77777777" w:rsidR="003A0F72" w:rsidRPr="005865FE" w:rsidRDefault="004A7E52" w:rsidP="003A0F72">
      <w:pPr>
        <w:jc w:val="right"/>
        <w:rPr>
          <w:lang w:val="es-ES"/>
        </w:rPr>
      </w:pPr>
      <w:r w:rsidRPr="005865FE">
        <w:rPr>
          <w:b/>
          <w:noProof/>
          <w:lang w:val="en-US"/>
        </w:rPr>
        <w:drawing>
          <wp:inline distT="0" distB="0" distL="0" distR="0" wp14:anchorId="3308E48F" wp14:editId="77351079">
            <wp:extent cx="2743200" cy="1135380"/>
            <wp:effectExtent l="0" t="0" r="0" b="0"/>
            <wp:docPr id="2" name="Picture 2" descr="LogoFeb2016TMXTSXV-EN-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20327" name="Picture 2" descr="LogoFeb2016TMXTSXV-EN-Colo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43200" cy="1135380"/>
                    </a:xfrm>
                    <a:prstGeom prst="rect">
                      <a:avLst/>
                    </a:prstGeom>
                    <a:noFill/>
                    <a:ln>
                      <a:noFill/>
                    </a:ln>
                  </pic:spPr>
                </pic:pic>
              </a:graphicData>
            </a:graphic>
          </wp:inline>
        </w:drawing>
      </w:r>
    </w:p>
    <w:p w14:paraId="6D8B14E0" w14:textId="53644289" w:rsidR="006913AC" w:rsidRPr="005865FE" w:rsidRDefault="004A7E52">
      <w:pPr>
        <w:pStyle w:val="Title"/>
        <w:rPr>
          <w:rFonts w:ascii="Century Gothic" w:hAnsi="Century Gothic"/>
          <w:b w:val="0"/>
          <w:sz w:val="36"/>
          <w:szCs w:val="36"/>
          <w:lang w:val="es-ES"/>
        </w:rPr>
      </w:pPr>
      <w:r w:rsidRPr="005865FE">
        <w:rPr>
          <w:rFonts w:ascii="Century Gothic" w:hAnsi="Century Gothic"/>
          <w:sz w:val="36"/>
          <w:szCs w:val="36"/>
          <w:lang w:val="es-ES"/>
        </w:rPr>
        <w:t>FORMULARIO 2F</w:t>
      </w:r>
      <w:r w:rsidRPr="005865FE">
        <w:rPr>
          <w:rFonts w:ascii="Century Gothic" w:hAnsi="Century Gothic"/>
          <w:sz w:val="36"/>
          <w:szCs w:val="36"/>
          <w:lang w:val="es-ES"/>
        </w:rPr>
        <w:br/>
      </w:r>
      <w:r w:rsidR="00E45AAE" w:rsidRPr="005865FE">
        <w:rPr>
          <w:rFonts w:ascii="Century Gothic" w:hAnsi="Century Gothic"/>
          <w:sz w:val="36"/>
          <w:szCs w:val="36"/>
          <w:lang w:val="es-ES"/>
        </w:rPr>
        <w:t xml:space="preserve"> CONTRATO DE CUSTODIA DE LOS VALORES DE UNA CPC</w:t>
      </w:r>
    </w:p>
    <w:p w14:paraId="0BACCD30" w14:textId="4CC9E84D" w:rsidR="006913AC" w:rsidRPr="005865FE" w:rsidRDefault="004A7E52">
      <w:pPr>
        <w:pStyle w:val="BodyText"/>
        <w:rPr>
          <w:lang w:val="es-ES"/>
        </w:rPr>
      </w:pPr>
      <w:r w:rsidRPr="005865FE">
        <w:rPr>
          <w:b/>
          <w:lang w:val="es-ES"/>
        </w:rPr>
        <w:t>E</w:t>
      </w:r>
      <w:r w:rsidR="00744C19">
        <w:rPr>
          <w:b/>
          <w:lang w:val="es-ES"/>
        </w:rPr>
        <w:t>L PRESENTE</w:t>
      </w:r>
      <w:r w:rsidRPr="005865FE">
        <w:rPr>
          <w:b/>
          <w:lang w:val="es-ES"/>
        </w:rPr>
        <w:t xml:space="preserve"> CONTRATO se celebra </w:t>
      </w:r>
      <w:r w:rsidR="005865FE" w:rsidRPr="005865FE">
        <w:rPr>
          <w:b/>
          <w:lang w:val="es-ES"/>
        </w:rPr>
        <w:t>el _</w:t>
      </w:r>
      <w:r w:rsidRPr="005865FE">
        <w:rPr>
          <w:b/>
          <w:lang w:val="es-ES"/>
        </w:rPr>
        <w:t>_____ de ______________ de</w:t>
      </w:r>
      <w:r w:rsidR="005865FE">
        <w:rPr>
          <w:b/>
          <w:lang w:val="es-ES"/>
        </w:rPr>
        <w:t xml:space="preserve"> </w:t>
      </w:r>
      <w:r w:rsidRPr="005865FE">
        <w:rPr>
          <w:b/>
          <w:lang w:val="es-ES"/>
        </w:rPr>
        <w:t>______</w:t>
      </w:r>
    </w:p>
    <w:p w14:paraId="7F486EFE" w14:textId="77777777" w:rsidR="006913AC" w:rsidRPr="005865FE" w:rsidRDefault="004A7E52">
      <w:pPr>
        <w:pStyle w:val="Parties"/>
        <w:rPr>
          <w:b/>
          <w:lang w:val="es-ES"/>
        </w:rPr>
      </w:pPr>
      <w:r w:rsidRPr="005865FE">
        <w:rPr>
          <w:b/>
          <w:lang w:val="es-ES"/>
        </w:rPr>
        <w:t>ENTRE:</w:t>
      </w:r>
    </w:p>
    <w:p w14:paraId="18D70E32" w14:textId="77777777" w:rsidR="006913AC" w:rsidRPr="005865FE" w:rsidRDefault="00676111">
      <w:pPr>
        <w:pStyle w:val="Parties"/>
        <w:ind w:left="1440" w:right="1440"/>
        <w:rPr>
          <w:i/>
          <w:lang w:val="es-ES"/>
        </w:rPr>
      </w:pPr>
      <w:r w:rsidRPr="005865FE">
        <w:rPr>
          <w:lang w:val="es-ES"/>
        </w:rPr>
        <w:t>(el “</w:t>
      </w:r>
      <w:r w:rsidRPr="005865FE">
        <w:rPr>
          <w:b/>
          <w:lang w:val="es-ES"/>
        </w:rPr>
        <w:t>emisor</w:t>
      </w:r>
      <w:r w:rsidRPr="005865FE">
        <w:rPr>
          <w:lang w:val="es-ES"/>
        </w:rPr>
        <w:t>”)</w:t>
      </w:r>
    </w:p>
    <w:p w14:paraId="0D485AD3" w14:textId="77777777" w:rsidR="006913AC" w:rsidRPr="005865FE" w:rsidRDefault="004A7E52">
      <w:pPr>
        <w:pStyle w:val="Parties"/>
        <w:rPr>
          <w:b/>
          <w:lang w:val="es-ES"/>
        </w:rPr>
      </w:pPr>
      <w:r w:rsidRPr="005865FE">
        <w:rPr>
          <w:b/>
          <w:lang w:val="es-ES"/>
        </w:rPr>
        <w:t>Y:</w:t>
      </w:r>
    </w:p>
    <w:p w14:paraId="2BD10F25" w14:textId="75D4765D" w:rsidR="006913AC" w:rsidRPr="005865FE" w:rsidRDefault="00055E78">
      <w:pPr>
        <w:pStyle w:val="Parties"/>
        <w:ind w:left="1440" w:right="1440"/>
        <w:rPr>
          <w:lang w:val="es-ES"/>
        </w:rPr>
      </w:pPr>
      <w:r w:rsidRPr="005865FE">
        <w:rPr>
          <w:lang w:val="es-ES"/>
        </w:rPr>
        <w:t>(el “</w:t>
      </w:r>
      <w:r w:rsidRPr="005865FE">
        <w:rPr>
          <w:b/>
          <w:lang w:val="es-ES"/>
        </w:rPr>
        <w:t>ag</w:t>
      </w:r>
      <w:r w:rsidR="005865FE">
        <w:rPr>
          <w:b/>
          <w:lang w:val="es-ES"/>
        </w:rPr>
        <w:t>e</w:t>
      </w:r>
      <w:r w:rsidRPr="005865FE">
        <w:rPr>
          <w:b/>
          <w:lang w:val="es-ES"/>
        </w:rPr>
        <w:t>nte de custodia</w:t>
      </w:r>
      <w:r w:rsidRPr="005865FE">
        <w:rPr>
          <w:lang w:val="es-ES"/>
        </w:rPr>
        <w:t>”)</w:t>
      </w:r>
    </w:p>
    <w:p w14:paraId="0E3EC4A7" w14:textId="77777777" w:rsidR="006913AC" w:rsidRPr="005865FE" w:rsidRDefault="004A7E52">
      <w:pPr>
        <w:pStyle w:val="Parties"/>
        <w:rPr>
          <w:b/>
          <w:lang w:val="es-ES"/>
        </w:rPr>
      </w:pPr>
      <w:r w:rsidRPr="005865FE">
        <w:rPr>
          <w:b/>
          <w:lang w:val="es-ES"/>
        </w:rPr>
        <w:t>Y:</w:t>
      </w:r>
    </w:p>
    <w:p w14:paraId="190AF5B7" w14:textId="0C439791" w:rsidR="00365869" w:rsidRPr="005865FE" w:rsidRDefault="004A7E52" w:rsidP="00293D68">
      <w:pPr>
        <w:pStyle w:val="Parties"/>
        <w:ind w:left="1440" w:right="1418"/>
        <w:rPr>
          <w:lang w:val="es-ES"/>
        </w:rPr>
      </w:pPr>
      <w:r w:rsidRPr="005865FE">
        <w:rPr>
          <w:b/>
          <w:lang w:val="es-ES"/>
        </w:rPr>
        <w:t>CADA UNO DE LOS TENEDORES DE VALORES ABAJO</w:t>
      </w:r>
      <w:r w:rsidR="00293D68">
        <w:rPr>
          <w:b/>
          <w:lang w:val="es-ES"/>
        </w:rPr>
        <w:t xml:space="preserve"> </w:t>
      </w:r>
      <w:r w:rsidRPr="005865FE">
        <w:rPr>
          <w:b/>
          <w:lang w:val="es-ES"/>
        </w:rPr>
        <w:t>FIRMANTES DEL EMISOR</w:t>
      </w:r>
      <w:r w:rsidRPr="005865FE">
        <w:rPr>
          <w:b/>
          <w:lang w:val="es-ES"/>
        </w:rPr>
        <w:br/>
      </w:r>
      <w:r w:rsidR="00C77178" w:rsidRPr="005865FE">
        <w:rPr>
          <w:lang w:val="es-ES"/>
        </w:rPr>
        <w:t>(el “</w:t>
      </w:r>
      <w:r w:rsidR="00C77178" w:rsidRPr="005865FE">
        <w:rPr>
          <w:b/>
          <w:lang w:val="es-ES"/>
        </w:rPr>
        <w:t>tenedor de valores</w:t>
      </w:r>
      <w:r w:rsidR="00C77178" w:rsidRPr="005865FE">
        <w:rPr>
          <w:lang w:val="es-ES"/>
        </w:rPr>
        <w:t xml:space="preserve">” o </w:t>
      </w:r>
      <w:r w:rsidR="00C77178" w:rsidRPr="005865FE">
        <w:rPr>
          <w:b/>
          <w:lang w:val="es-ES"/>
        </w:rPr>
        <w:t>“usted</w:t>
      </w:r>
      <w:r w:rsidR="00C77178" w:rsidRPr="005865FE">
        <w:rPr>
          <w:lang w:val="es-ES"/>
        </w:rPr>
        <w:t>”)</w:t>
      </w:r>
    </w:p>
    <w:p w14:paraId="5481260D" w14:textId="77777777" w:rsidR="00365869" w:rsidRPr="005865FE" w:rsidRDefault="00215A85" w:rsidP="00365869">
      <w:pPr>
        <w:pStyle w:val="Parties"/>
        <w:rPr>
          <w:b/>
          <w:lang w:val="es-ES"/>
        </w:rPr>
      </w:pPr>
      <w:r w:rsidRPr="005865FE">
        <w:rPr>
          <w:lang w:val="es-ES"/>
        </w:rPr>
        <w:t>(designadas colectivamente, las “</w:t>
      </w:r>
      <w:r w:rsidRPr="005865FE">
        <w:rPr>
          <w:b/>
          <w:lang w:val="es-ES"/>
        </w:rPr>
        <w:t>partes</w:t>
      </w:r>
      <w:r w:rsidRPr="005865FE">
        <w:rPr>
          <w:lang w:val="es-ES"/>
        </w:rPr>
        <w:t>”)</w:t>
      </w:r>
    </w:p>
    <w:p w14:paraId="799D9FE1" w14:textId="713817DD" w:rsidR="006913AC" w:rsidRPr="005865FE" w:rsidRDefault="00651CE9">
      <w:pPr>
        <w:pStyle w:val="BodyText"/>
        <w:rPr>
          <w:lang w:val="es-ES"/>
        </w:rPr>
      </w:pPr>
      <w:r w:rsidRPr="005865FE">
        <w:rPr>
          <w:b/>
          <w:lang w:val="es-ES"/>
        </w:rPr>
        <w:t xml:space="preserve">El presente contrato </w:t>
      </w:r>
      <w:r w:rsidRPr="005865FE">
        <w:rPr>
          <w:lang w:val="es-ES"/>
        </w:rPr>
        <w:t xml:space="preserve">se celebra ente las partes de conformidad con la Política 2.4 – </w:t>
      </w:r>
      <w:r w:rsidRPr="005865FE">
        <w:rPr>
          <w:i/>
          <w:lang w:val="es-ES"/>
        </w:rPr>
        <w:t>Sociedades de Capital Generador</w:t>
      </w:r>
      <w:r w:rsidRPr="005865FE">
        <w:rPr>
          <w:lang w:val="es-ES"/>
        </w:rPr>
        <w:t xml:space="preserve"> (la “</w:t>
      </w:r>
      <w:r w:rsidRPr="005865FE">
        <w:rPr>
          <w:b/>
          <w:lang w:val="es-ES"/>
        </w:rPr>
        <w:t>Política</w:t>
      </w:r>
      <w:r w:rsidRPr="005865FE">
        <w:rPr>
          <w:lang w:val="es-ES"/>
        </w:rPr>
        <w:t>”) de la Bolsa en relación con una inscripción en la TSX Venture Exchange (la “</w:t>
      </w:r>
      <w:r w:rsidRPr="005865FE">
        <w:rPr>
          <w:b/>
          <w:lang w:val="es-ES"/>
        </w:rPr>
        <w:t>Bolsa</w:t>
      </w:r>
      <w:r w:rsidRPr="005865FE">
        <w:rPr>
          <w:lang w:val="es-ES"/>
        </w:rPr>
        <w:t xml:space="preserve">”) de una </w:t>
      </w:r>
      <w:r w:rsidR="00986344">
        <w:rPr>
          <w:lang w:val="es-ES"/>
        </w:rPr>
        <w:t>sociedad</w:t>
      </w:r>
      <w:r w:rsidR="00986344" w:rsidRPr="005865FE">
        <w:rPr>
          <w:lang w:val="es-ES"/>
        </w:rPr>
        <w:t xml:space="preserve"> </w:t>
      </w:r>
      <w:r w:rsidR="00986344">
        <w:rPr>
          <w:lang w:val="es-ES"/>
        </w:rPr>
        <w:t>de</w:t>
      </w:r>
      <w:r w:rsidR="00986344" w:rsidRPr="005865FE">
        <w:rPr>
          <w:lang w:val="es-ES"/>
        </w:rPr>
        <w:t xml:space="preserve"> </w:t>
      </w:r>
      <w:r w:rsidRPr="005865FE">
        <w:rPr>
          <w:lang w:val="es-ES"/>
        </w:rPr>
        <w:t>capital generador</w:t>
      </w:r>
      <w:r w:rsidR="00D7494C">
        <w:rPr>
          <w:lang w:val="es-ES"/>
        </w:rPr>
        <w:t xml:space="preserve"> </w:t>
      </w:r>
      <w:r w:rsidR="00D7494C" w:rsidRPr="008420FD">
        <w:rPr>
          <w:lang w:val="es-ES"/>
        </w:rPr>
        <w:t>(“</w:t>
      </w:r>
      <w:r w:rsidR="00D7494C" w:rsidRPr="00A11AD6">
        <w:rPr>
          <w:b/>
          <w:bCs/>
          <w:lang w:val="es-ES"/>
        </w:rPr>
        <w:t>CPC</w:t>
      </w:r>
      <w:r w:rsidR="00D7494C" w:rsidRPr="008420FD">
        <w:rPr>
          <w:lang w:val="es-ES"/>
        </w:rPr>
        <w:t>”</w:t>
      </w:r>
      <w:r w:rsidR="008420FD" w:rsidRPr="008420FD">
        <w:rPr>
          <w:lang w:val="es-ES"/>
        </w:rPr>
        <w:t>, por sus siglas en inglés</w:t>
      </w:r>
      <w:r w:rsidR="00D7494C" w:rsidRPr="008420FD">
        <w:rPr>
          <w:lang w:val="es-ES"/>
        </w:rPr>
        <w:t>)</w:t>
      </w:r>
      <w:r w:rsidRPr="008420FD">
        <w:rPr>
          <w:lang w:val="es-ES"/>
        </w:rPr>
        <w:t>.</w:t>
      </w:r>
    </w:p>
    <w:p w14:paraId="2F0B6ECE" w14:textId="77777777" w:rsidR="006913AC" w:rsidRPr="005865FE" w:rsidRDefault="001B7ACA">
      <w:pPr>
        <w:pStyle w:val="BodyText"/>
        <w:rPr>
          <w:lang w:val="es-ES"/>
        </w:rPr>
      </w:pPr>
      <w:r w:rsidRPr="005865FE">
        <w:rPr>
          <w:b/>
          <w:lang w:val="es-ES"/>
        </w:rPr>
        <w:t xml:space="preserve">Por una contraprestación válida y susceptible de valor pecuniario, </w:t>
      </w:r>
      <w:r w:rsidRPr="005865FE">
        <w:rPr>
          <w:lang w:val="es-ES"/>
        </w:rPr>
        <w:t>las partes acuerdan lo siguiente:</w:t>
      </w:r>
    </w:p>
    <w:p w14:paraId="64A6963F" w14:textId="77777777" w:rsidR="006913AC" w:rsidRPr="005865FE" w:rsidRDefault="00954600" w:rsidP="00FF54B4">
      <w:pPr>
        <w:pStyle w:val="NumA1"/>
        <w:rPr>
          <w:lang w:val="es-ES"/>
        </w:rPr>
      </w:pPr>
      <w:r w:rsidRPr="005865FE">
        <w:rPr>
          <w:lang w:val="es-ES"/>
        </w:rPr>
        <w:t>CUSTODIA</w:t>
      </w:r>
    </w:p>
    <w:p w14:paraId="65DEDEAE" w14:textId="7A3FFA14" w:rsidR="006913AC" w:rsidRPr="005865FE" w:rsidRDefault="00562840">
      <w:pPr>
        <w:pStyle w:val="NumA2"/>
        <w:rPr>
          <w:lang w:val="es-ES"/>
        </w:rPr>
      </w:pPr>
      <w:r w:rsidRPr="005865FE">
        <w:rPr>
          <w:lang w:val="es-ES"/>
        </w:rPr>
        <w:t>Designación del agente de custodia</w:t>
      </w:r>
    </w:p>
    <w:p w14:paraId="3211935A" w14:textId="77777777" w:rsidR="006913AC" w:rsidRPr="005865FE" w:rsidRDefault="00C81601">
      <w:pPr>
        <w:pStyle w:val="NumAext2"/>
        <w:rPr>
          <w:lang w:val="es-ES"/>
        </w:rPr>
      </w:pPr>
      <w:r w:rsidRPr="005865FE">
        <w:rPr>
          <w:lang w:val="es-ES"/>
        </w:rPr>
        <w:t>El emisor y el tenedor de valores designan un agente de custodia para que actúe como agente de custodia de conformidad con el presente contrato.</w:t>
      </w:r>
      <w:r w:rsidR="004A7E52" w:rsidRPr="005865FE">
        <w:rPr>
          <w:lang w:val="es-ES"/>
        </w:rPr>
        <w:t xml:space="preserve"> </w:t>
      </w:r>
      <w:r w:rsidR="000E7AFF" w:rsidRPr="005865FE">
        <w:rPr>
          <w:lang w:val="es-ES"/>
        </w:rPr>
        <w:t>El agente de custodia acepta esta designación.</w:t>
      </w:r>
    </w:p>
    <w:p w14:paraId="674EAAE0" w14:textId="77777777" w:rsidR="006913AC" w:rsidRPr="005865FE" w:rsidRDefault="004A7E52">
      <w:pPr>
        <w:pStyle w:val="NumA2"/>
        <w:rPr>
          <w:lang w:val="es-ES"/>
        </w:rPr>
      </w:pPr>
      <w:r w:rsidRPr="005865FE">
        <w:rPr>
          <w:lang w:val="es-ES"/>
        </w:rPr>
        <w:lastRenderedPageBreak/>
        <w:t>Depósito en custodia de los valores</w:t>
      </w:r>
    </w:p>
    <w:p w14:paraId="4FFE42A5" w14:textId="7083E7D9" w:rsidR="00F51ACC" w:rsidRPr="005865FE" w:rsidRDefault="00E93A74" w:rsidP="00F51ACC">
      <w:pPr>
        <w:pStyle w:val="NumA3"/>
        <w:rPr>
          <w:szCs w:val="24"/>
          <w:lang w:val="es-ES"/>
        </w:rPr>
      </w:pPr>
      <w:r w:rsidRPr="005865FE">
        <w:rPr>
          <w:lang w:val="es-ES"/>
        </w:rPr>
        <w:t xml:space="preserve">Usted presta su consentimiento para depositar las acciones ordinarias o las unidades del </w:t>
      </w:r>
      <w:r w:rsidRPr="001D4A1C">
        <w:rPr>
          <w:lang w:val="es-ES"/>
        </w:rPr>
        <w:t>emisor (las “</w:t>
      </w:r>
      <w:r w:rsidRPr="001D4A1C">
        <w:rPr>
          <w:b/>
          <w:lang w:val="es-ES"/>
        </w:rPr>
        <w:t>acciones en custodia</w:t>
      </w:r>
      <w:r w:rsidRPr="001D4A1C">
        <w:rPr>
          <w:lang w:val="es-ES"/>
        </w:rPr>
        <w:t>”) y las opciones (las “</w:t>
      </w:r>
      <w:r w:rsidRPr="001D4A1C">
        <w:rPr>
          <w:b/>
          <w:lang w:val="es-ES"/>
        </w:rPr>
        <w:t>opciones</w:t>
      </w:r>
      <w:r w:rsidRPr="001D4A1C">
        <w:rPr>
          <w:lang w:val="es-ES"/>
        </w:rPr>
        <w:t>”) que permiten adquirir los valores del emisor (las “</w:t>
      </w:r>
      <w:r w:rsidRPr="001D4A1C">
        <w:rPr>
          <w:b/>
          <w:lang w:val="es-ES"/>
        </w:rPr>
        <w:t>acciones sujetas a opción</w:t>
      </w:r>
      <w:r w:rsidRPr="001D4A1C">
        <w:rPr>
          <w:lang w:val="es-ES"/>
        </w:rPr>
        <w:t>”) enumerad</w:t>
      </w:r>
      <w:r w:rsidR="001D4A1C" w:rsidRPr="001D4A1C">
        <w:rPr>
          <w:lang w:val="es-ES"/>
        </w:rPr>
        <w:t>o</w:t>
      </w:r>
      <w:r w:rsidRPr="001D4A1C">
        <w:rPr>
          <w:lang w:val="es-ES"/>
        </w:rPr>
        <w:t>s junto a su nombre en el Anexo “A” con el agente de custodia para ser mantenid</w:t>
      </w:r>
      <w:r w:rsidR="009B7DCD" w:rsidRPr="001D4A1C">
        <w:rPr>
          <w:lang w:val="es-ES"/>
        </w:rPr>
        <w:t>a</w:t>
      </w:r>
      <w:r w:rsidRPr="001D4A1C">
        <w:rPr>
          <w:lang w:val="es-ES"/>
        </w:rPr>
        <w:t xml:space="preserve">s en </w:t>
      </w:r>
      <w:r w:rsidRPr="005865FE">
        <w:rPr>
          <w:lang w:val="es-ES"/>
        </w:rPr>
        <w:t>custodia de conformidad con el presente contrato.</w:t>
      </w:r>
      <w:r w:rsidR="004A7E52" w:rsidRPr="005865FE">
        <w:rPr>
          <w:lang w:val="es-ES"/>
        </w:rPr>
        <w:t xml:space="preserve"> </w:t>
      </w:r>
      <w:r w:rsidR="007D5B3F" w:rsidRPr="005865FE">
        <w:rPr>
          <w:lang w:val="es-ES"/>
        </w:rPr>
        <w:t>En el presente contrato, el término “</w:t>
      </w:r>
      <w:r w:rsidR="007D5B3F" w:rsidRPr="00E630A2">
        <w:rPr>
          <w:b/>
          <w:bCs/>
          <w:lang w:val="es-ES"/>
        </w:rPr>
        <w:t>valores en custodia</w:t>
      </w:r>
      <w:r w:rsidR="007D5B3F" w:rsidRPr="005865FE">
        <w:rPr>
          <w:lang w:val="es-ES"/>
        </w:rPr>
        <w:t xml:space="preserve">” incluye las acciones en custodia, las opciones y las acciones sujetas a </w:t>
      </w:r>
      <w:r w:rsidR="005865FE" w:rsidRPr="005865FE">
        <w:rPr>
          <w:lang w:val="es-ES"/>
        </w:rPr>
        <w:t>opción</w:t>
      </w:r>
      <w:r w:rsidR="007D5B3F" w:rsidRPr="005865FE">
        <w:rPr>
          <w:lang w:val="es-ES"/>
        </w:rPr>
        <w:t>.</w:t>
      </w:r>
      <w:r w:rsidR="00FC07CD" w:rsidRPr="005865FE">
        <w:rPr>
          <w:szCs w:val="24"/>
          <w:lang w:val="es-ES"/>
        </w:rPr>
        <w:t xml:space="preserve"> </w:t>
      </w:r>
      <w:r w:rsidR="003729D4" w:rsidRPr="005865FE">
        <w:rPr>
          <w:szCs w:val="24"/>
          <w:lang w:val="es-ES"/>
        </w:rPr>
        <w:t>Usted se compromete a entregar o hacer entregar de inmediato al agente de custodia todos los certificados de valores u otros comprobantes de estos valores en custodia que tenga o que pueda recibir con posterioridad.</w:t>
      </w:r>
      <w:r w:rsidR="00FC07CD" w:rsidRPr="005865FE">
        <w:rPr>
          <w:szCs w:val="24"/>
          <w:lang w:val="es-ES"/>
        </w:rPr>
        <w:t xml:space="preserve"> </w:t>
      </w:r>
      <w:r w:rsidR="00994D47" w:rsidRPr="005865FE">
        <w:rPr>
          <w:szCs w:val="24"/>
          <w:lang w:val="es-ES"/>
        </w:rPr>
        <w:t>Si usted no fuera una persona física, también deberá llenar, firmar y entregar a la Bolsa un compromiso de tenedor de valores en custodia que no es una persona física siguiendo el modelo del formulario que figura en el Anexo “B”.</w:t>
      </w:r>
    </w:p>
    <w:p w14:paraId="684F83AA" w14:textId="77777777" w:rsidR="004E0D80" w:rsidRPr="005865FE" w:rsidRDefault="00705F7E">
      <w:pPr>
        <w:pStyle w:val="NumA3"/>
        <w:rPr>
          <w:szCs w:val="24"/>
          <w:lang w:val="es-ES"/>
        </w:rPr>
      </w:pPr>
      <w:r w:rsidRPr="005865FE">
        <w:rPr>
          <w:szCs w:val="24"/>
          <w:lang w:val="es-ES"/>
        </w:rPr>
        <w:t>Si el tenedor de valores posee opciones que están sujetas al presente contrato:</w:t>
      </w:r>
    </w:p>
    <w:p w14:paraId="4D7AF4C9" w14:textId="7CC7F842" w:rsidR="004E0D80" w:rsidRPr="005865FE" w:rsidRDefault="00341CEB" w:rsidP="004E0D80">
      <w:pPr>
        <w:pStyle w:val="NumA4"/>
        <w:rPr>
          <w:szCs w:val="24"/>
          <w:lang w:val="es-ES"/>
        </w:rPr>
      </w:pPr>
      <w:r w:rsidRPr="005865FE">
        <w:rPr>
          <w:szCs w:val="24"/>
          <w:lang w:val="es-ES"/>
        </w:rPr>
        <w:t>este acepta que todas las acciones sujetas a opción recibidas al momento del ejercicio de estas opciones se depositen en custodia en forma simultánea con el agente de custodia en virtud del presente contrato para que sean conservadas y liberadas de conformidad con las disposiciones del presente contrato</w:t>
      </w:r>
      <w:r w:rsidR="005865FE">
        <w:rPr>
          <w:szCs w:val="24"/>
          <w:lang w:val="es-ES"/>
        </w:rPr>
        <w:t xml:space="preserve">; </w:t>
      </w:r>
    </w:p>
    <w:p w14:paraId="010DAFAB" w14:textId="77777777" w:rsidR="004E0D80" w:rsidRPr="005865FE" w:rsidRDefault="00DD2665" w:rsidP="004E0D80">
      <w:pPr>
        <w:pStyle w:val="NumA4"/>
        <w:rPr>
          <w:szCs w:val="24"/>
          <w:lang w:val="es-ES"/>
        </w:rPr>
      </w:pPr>
      <w:r w:rsidRPr="005865FE">
        <w:rPr>
          <w:szCs w:val="24"/>
          <w:lang w:val="es-ES"/>
        </w:rPr>
        <w:t xml:space="preserve">el emisor acepta no emitir acciones sujetas a opción al momento del ejercicio de estas opciones salvo si estas acciones se depositan en custodia en forma simultánea con el agente de custodia en </w:t>
      </w:r>
      <w:r w:rsidRPr="000B5679">
        <w:rPr>
          <w:szCs w:val="24"/>
          <w:lang w:val="es-ES"/>
        </w:rPr>
        <w:t>virtud del presente contrato para que sean conservadas y liberadas de conformidad con las disposiciones del presente contrato;</w:t>
      </w:r>
    </w:p>
    <w:p w14:paraId="0518F523" w14:textId="77777777" w:rsidR="006913AC" w:rsidRPr="005865FE" w:rsidRDefault="00E01390">
      <w:pPr>
        <w:pStyle w:val="NumA3"/>
        <w:rPr>
          <w:lang w:val="es-ES"/>
        </w:rPr>
      </w:pPr>
      <w:r w:rsidRPr="005865FE">
        <w:rPr>
          <w:lang w:val="es-ES"/>
        </w:rPr>
        <w:t>Si usted recibe otros valores, (los “</w:t>
      </w:r>
      <w:r w:rsidRPr="005865FE">
        <w:rPr>
          <w:b/>
          <w:lang w:val="es-ES"/>
        </w:rPr>
        <w:t>valores en custodia adicionales</w:t>
      </w:r>
      <w:r w:rsidRPr="005865FE">
        <w:rPr>
          <w:lang w:val="es-ES"/>
        </w:rPr>
        <w:t>”):</w:t>
      </w:r>
    </w:p>
    <w:p w14:paraId="2980F42B" w14:textId="13793A7E" w:rsidR="006913AC" w:rsidRPr="005865FE" w:rsidRDefault="004A7E52">
      <w:pPr>
        <w:pStyle w:val="NumA4"/>
        <w:rPr>
          <w:lang w:val="es-ES"/>
        </w:rPr>
      </w:pPr>
      <w:r w:rsidRPr="005865FE">
        <w:rPr>
          <w:lang w:val="es-ES"/>
        </w:rPr>
        <w:t>como dividendo u otra distribución sobre los valores en custodia;</w:t>
      </w:r>
    </w:p>
    <w:p w14:paraId="5323DA4A" w14:textId="77777777" w:rsidR="006913AC" w:rsidRPr="005865FE" w:rsidRDefault="004A7E52">
      <w:pPr>
        <w:pStyle w:val="NumA4"/>
        <w:rPr>
          <w:lang w:val="es-ES"/>
        </w:rPr>
      </w:pPr>
      <w:r w:rsidRPr="005865FE">
        <w:rPr>
          <w:lang w:val="es-ES"/>
        </w:rPr>
        <w:t>a resultas del ejercicio de un derecho de compra, conversión o canje inherentes a los valores en custodia, incluidos los valores recibidos por conversión de bonos de suscripción especiales;</w:t>
      </w:r>
    </w:p>
    <w:p w14:paraId="217A1A12" w14:textId="77777777" w:rsidR="006913AC" w:rsidRPr="005865FE" w:rsidRDefault="0063735B">
      <w:pPr>
        <w:pStyle w:val="NumA4"/>
        <w:rPr>
          <w:lang w:val="es-ES"/>
        </w:rPr>
      </w:pPr>
      <w:r w:rsidRPr="005865FE">
        <w:rPr>
          <w:lang w:val="es-ES"/>
        </w:rPr>
        <w:t>tras un fraccionamiento o conversión o canje obligatorios o automáticos de los valores en custodia;</w:t>
      </w:r>
    </w:p>
    <w:p w14:paraId="6446E3C7" w14:textId="2B4F248E" w:rsidR="006913AC" w:rsidRPr="005865FE" w:rsidRDefault="00DD12B4">
      <w:pPr>
        <w:pStyle w:val="NumA4"/>
        <w:rPr>
          <w:lang w:val="es-ES"/>
        </w:rPr>
      </w:pPr>
      <w:r w:rsidRPr="005865FE">
        <w:rPr>
          <w:lang w:val="es-ES"/>
        </w:rPr>
        <w:t xml:space="preserve">de un emisor sucesor en una combinación de </w:t>
      </w:r>
      <w:r w:rsidR="005275E6">
        <w:rPr>
          <w:lang w:val="es-ES"/>
        </w:rPr>
        <w:t>negocio</w:t>
      </w:r>
      <w:r w:rsidRPr="005865FE">
        <w:rPr>
          <w:lang w:val="es-ES"/>
        </w:rPr>
        <w:t xml:space="preserve">s, si la </w:t>
      </w:r>
      <w:r w:rsidRPr="005865FE">
        <w:rPr>
          <w:lang w:val="es-ES"/>
        </w:rPr>
        <w:fldChar w:fldCharType="begin"/>
      </w:r>
      <w:r w:rsidRPr="005865FE">
        <w:rPr>
          <w:lang w:val="es-ES"/>
        </w:rPr>
        <w:instrText xml:space="preserve"> REF _Ref19543041 \r \h </w:instrText>
      </w:r>
      <w:r w:rsidRPr="005865FE">
        <w:rPr>
          <w:lang w:val="es-ES"/>
        </w:rPr>
      </w:r>
      <w:r w:rsidRPr="005865FE">
        <w:rPr>
          <w:lang w:val="es-ES"/>
        </w:rPr>
        <w:fldChar w:fldCharType="separate"/>
      </w:r>
      <w:r w:rsidRPr="005865FE">
        <w:rPr>
          <w:lang w:val="es-ES"/>
        </w:rPr>
        <w:t>parte</w:t>
      </w:r>
      <w:r w:rsidRPr="005865FE">
        <w:rPr>
          <w:lang w:val="es-ES"/>
        </w:rPr>
        <w:fldChar w:fldCharType="end"/>
      </w:r>
      <w:r w:rsidRPr="005865FE">
        <w:rPr>
          <w:lang w:val="es-ES"/>
        </w:rPr>
        <w:t xml:space="preserve"> 6 de</w:t>
      </w:r>
      <w:r w:rsidR="00174BE0">
        <w:rPr>
          <w:lang w:val="es-ES"/>
        </w:rPr>
        <w:t>l presente contrato</w:t>
      </w:r>
      <w:r w:rsidRPr="005865FE">
        <w:rPr>
          <w:lang w:val="es-ES"/>
        </w:rPr>
        <w:t xml:space="preserve"> fuera aplicable</w:t>
      </w:r>
      <w:r w:rsidR="00293D68">
        <w:rPr>
          <w:lang w:val="es-ES"/>
        </w:rPr>
        <w:t>.</w:t>
      </w:r>
    </w:p>
    <w:p w14:paraId="0E9D2ED3" w14:textId="49E4F5AD" w:rsidR="006913AC" w:rsidRPr="005865FE" w:rsidRDefault="00293D68">
      <w:pPr>
        <w:pStyle w:val="NumAext3"/>
        <w:rPr>
          <w:lang w:val="es-ES"/>
        </w:rPr>
      </w:pPr>
      <w:r>
        <w:rPr>
          <w:lang w:val="es-ES"/>
        </w:rPr>
        <w:t>U</w:t>
      </w:r>
      <w:r w:rsidR="00751C08" w:rsidRPr="005865FE">
        <w:rPr>
          <w:lang w:val="es-ES"/>
        </w:rPr>
        <w:t>sted deberá depositarlos en custodia con el agente de custodia.</w:t>
      </w:r>
      <w:r w:rsidR="004A7E52" w:rsidRPr="005865FE">
        <w:rPr>
          <w:lang w:val="es-ES"/>
        </w:rPr>
        <w:t xml:space="preserve"> </w:t>
      </w:r>
      <w:r w:rsidR="00A940CA" w:rsidRPr="005865FE">
        <w:rPr>
          <w:lang w:val="es-ES"/>
        </w:rPr>
        <w:t>Deberá entregar o hará que se entreguen al agente de custodia todos los certificados de valores u otros comprobantes de esos valores en custodia adicionales.</w:t>
      </w:r>
      <w:r w:rsidR="004A7E52" w:rsidRPr="005865FE">
        <w:rPr>
          <w:lang w:val="es-ES"/>
        </w:rPr>
        <w:t xml:space="preserve"> </w:t>
      </w:r>
      <w:r w:rsidR="00BA7C33" w:rsidRPr="005865FE">
        <w:rPr>
          <w:lang w:val="es-ES"/>
        </w:rPr>
        <w:t>En el presente contrato, el término “</w:t>
      </w:r>
      <w:r w:rsidR="00BA7C33" w:rsidRPr="005865FE">
        <w:rPr>
          <w:b/>
          <w:lang w:val="es-ES"/>
        </w:rPr>
        <w:t>valores en custodia</w:t>
      </w:r>
      <w:r w:rsidR="00BA7C33" w:rsidRPr="005865FE">
        <w:rPr>
          <w:lang w:val="es-ES"/>
        </w:rPr>
        <w:t>” incluye los valores en custodia adicionales.</w:t>
      </w:r>
    </w:p>
    <w:p w14:paraId="3F1A0CD9" w14:textId="2EC9367F" w:rsidR="006913AC" w:rsidRPr="005865FE" w:rsidRDefault="0054525F">
      <w:pPr>
        <w:pStyle w:val="NumA3"/>
        <w:rPr>
          <w:lang w:val="es-ES"/>
        </w:rPr>
      </w:pPr>
      <w:r w:rsidRPr="005865FE">
        <w:rPr>
          <w:lang w:val="es-ES"/>
        </w:rPr>
        <w:t xml:space="preserve">Usted se compromete a entregar de </w:t>
      </w:r>
      <w:r w:rsidR="00E00F14" w:rsidRPr="005865FE">
        <w:rPr>
          <w:lang w:val="es-ES"/>
        </w:rPr>
        <w:t>inmediato</w:t>
      </w:r>
      <w:r w:rsidRPr="005865FE">
        <w:rPr>
          <w:lang w:val="es-ES"/>
        </w:rPr>
        <w:t xml:space="preserve"> al agente de custodia los certificados u otros comprobantes de reemplazo que reciba por las opciones, las acciones sujetas a opción o los valores en custodia adicionales.</w:t>
      </w:r>
    </w:p>
    <w:p w14:paraId="656BC383" w14:textId="77777777" w:rsidR="006913AC" w:rsidRPr="005865FE" w:rsidRDefault="004A7E52">
      <w:pPr>
        <w:pStyle w:val="NumA2"/>
        <w:rPr>
          <w:lang w:val="es-ES"/>
        </w:rPr>
      </w:pPr>
      <w:r w:rsidRPr="005865FE">
        <w:rPr>
          <w:lang w:val="es-ES"/>
        </w:rPr>
        <w:lastRenderedPageBreak/>
        <w:t>Instrucción al agente de custodia</w:t>
      </w:r>
    </w:p>
    <w:p w14:paraId="72385AE5" w14:textId="3FD7195F" w:rsidR="006913AC" w:rsidRPr="005865FE" w:rsidRDefault="00AB71BB">
      <w:pPr>
        <w:pStyle w:val="NumAext2"/>
        <w:rPr>
          <w:lang w:val="es-ES"/>
        </w:rPr>
      </w:pPr>
      <w:r w:rsidRPr="005865FE">
        <w:rPr>
          <w:lang w:val="es-ES"/>
        </w:rPr>
        <w:t>El emisor y los tenedores de valores instruyen al agente de custodia para que conserve los valores en custodia hasta su liberación de conformidad con el presente contrato.</w:t>
      </w:r>
    </w:p>
    <w:p w14:paraId="7703E904" w14:textId="77777777" w:rsidR="006913AC" w:rsidRPr="005865FE" w:rsidRDefault="004A7E52">
      <w:pPr>
        <w:pStyle w:val="NumA1"/>
        <w:rPr>
          <w:lang w:val="es-ES"/>
        </w:rPr>
      </w:pPr>
      <w:r w:rsidRPr="005865FE">
        <w:rPr>
          <w:lang w:val="es-ES"/>
        </w:rPr>
        <w:t>LIBERACIÓN DE LOS VALORES EN CUSTODIA</w:t>
      </w:r>
    </w:p>
    <w:p w14:paraId="6C0F38F5" w14:textId="77777777" w:rsidR="009A4772" w:rsidRPr="005865FE" w:rsidRDefault="004A7E52" w:rsidP="009A4772">
      <w:pPr>
        <w:pStyle w:val="NumA2"/>
        <w:rPr>
          <w:lang w:val="es-ES"/>
        </w:rPr>
      </w:pPr>
      <w:bookmarkStart w:id="0" w:name="_Ref19545738"/>
      <w:r w:rsidRPr="005865FE">
        <w:rPr>
          <w:lang w:val="es-ES"/>
        </w:rPr>
        <w:t>Disposiciones de liberación</w:t>
      </w:r>
      <w:bookmarkEnd w:id="0"/>
    </w:p>
    <w:p w14:paraId="1F090E9C" w14:textId="7D7A32A3" w:rsidR="005728C6" w:rsidRPr="005865FE" w:rsidRDefault="00092BCD" w:rsidP="005728C6">
      <w:pPr>
        <w:pStyle w:val="NumAext2"/>
        <w:rPr>
          <w:szCs w:val="24"/>
          <w:lang w:val="es-ES"/>
        </w:rPr>
      </w:pPr>
      <w:r w:rsidRPr="005865FE">
        <w:rPr>
          <w:szCs w:val="24"/>
          <w:lang w:val="es-ES"/>
        </w:rPr>
        <w:t xml:space="preserve">Con sujeción a la Política y a los </w:t>
      </w:r>
      <w:r w:rsidRPr="005865FE">
        <w:rPr>
          <w:szCs w:val="24"/>
          <w:lang w:val="es-ES"/>
        </w:rPr>
        <w:fldChar w:fldCharType="begin"/>
      </w:r>
      <w:r w:rsidRPr="005865FE">
        <w:rPr>
          <w:szCs w:val="24"/>
          <w:lang w:val="es-ES"/>
        </w:rPr>
        <w:instrText xml:space="preserve"> REF _Ref19602268 \r \h  \* MERGEFORMAT </w:instrText>
      </w:r>
      <w:r w:rsidRPr="005865FE">
        <w:rPr>
          <w:szCs w:val="24"/>
          <w:lang w:val="es-ES"/>
        </w:rPr>
      </w:r>
      <w:r w:rsidRPr="005865FE">
        <w:rPr>
          <w:szCs w:val="24"/>
          <w:lang w:val="es-ES"/>
        </w:rPr>
        <w:fldChar w:fldCharType="separate"/>
      </w:r>
      <w:r w:rsidRPr="005865FE">
        <w:rPr>
          <w:szCs w:val="24"/>
          <w:lang w:val="es-ES"/>
        </w:rPr>
        <w:t>párrafos</w:t>
      </w:r>
      <w:r w:rsidR="008E701C">
        <w:rPr>
          <w:szCs w:val="24"/>
          <w:lang w:val="es-ES"/>
        </w:rPr>
        <w:t xml:space="preserve"> </w:t>
      </w:r>
      <w:r w:rsidR="008E701C" w:rsidRPr="00091B2C">
        <w:rPr>
          <w:szCs w:val="24"/>
          <w:lang w:val="es-ES"/>
        </w:rPr>
        <w:fldChar w:fldCharType="begin"/>
      </w:r>
      <w:r w:rsidR="008E701C" w:rsidRPr="00091B2C">
        <w:rPr>
          <w:szCs w:val="24"/>
          <w:lang w:val="es-ES"/>
        </w:rPr>
        <w:instrText xml:space="preserve"> REF _Ref50580681 \r \h </w:instrText>
      </w:r>
      <w:r w:rsidR="008E701C" w:rsidRPr="00091B2C">
        <w:rPr>
          <w:szCs w:val="24"/>
          <w:lang w:val="es-ES"/>
        </w:rPr>
      </w:r>
      <w:r w:rsidR="008E701C" w:rsidRPr="00091B2C">
        <w:rPr>
          <w:szCs w:val="24"/>
          <w:lang w:val="es-ES"/>
        </w:rPr>
        <w:fldChar w:fldCharType="separate"/>
      </w:r>
      <w:r w:rsidR="008E701C" w:rsidRPr="00091B2C">
        <w:rPr>
          <w:szCs w:val="24"/>
          <w:lang w:val="es-ES"/>
        </w:rPr>
        <w:t>2.5</w:t>
      </w:r>
      <w:r w:rsidR="008E701C" w:rsidRPr="00091B2C">
        <w:rPr>
          <w:szCs w:val="24"/>
          <w:lang w:val="es-ES"/>
        </w:rPr>
        <w:fldChar w:fldCharType="end"/>
      </w:r>
      <w:r w:rsidR="008E701C" w:rsidRPr="00091B2C">
        <w:rPr>
          <w:szCs w:val="24"/>
          <w:lang w:val="es-ES"/>
        </w:rPr>
        <w:t xml:space="preserve">, </w:t>
      </w:r>
      <w:r w:rsidR="008E701C" w:rsidRPr="00091B2C">
        <w:rPr>
          <w:szCs w:val="24"/>
          <w:lang w:val="es-ES"/>
        </w:rPr>
        <w:fldChar w:fldCharType="begin"/>
      </w:r>
      <w:r w:rsidR="008E701C" w:rsidRPr="00091B2C">
        <w:rPr>
          <w:szCs w:val="24"/>
          <w:lang w:val="es-ES"/>
        </w:rPr>
        <w:instrText xml:space="preserve"> REF _Ref50580692 \r \h </w:instrText>
      </w:r>
      <w:r w:rsidR="008E701C" w:rsidRPr="00091B2C">
        <w:rPr>
          <w:szCs w:val="24"/>
          <w:lang w:val="es-ES"/>
        </w:rPr>
      </w:r>
      <w:r w:rsidR="008E701C" w:rsidRPr="00091B2C">
        <w:rPr>
          <w:szCs w:val="24"/>
          <w:lang w:val="es-ES"/>
        </w:rPr>
        <w:fldChar w:fldCharType="separate"/>
      </w:r>
      <w:r w:rsidR="008E701C" w:rsidRPr="00091B2C">
        <w:rPr>
          <w:szCs w:val="24"/>
          <w:lang w:val="es-ES"/>
        </w:rPr>
        <w:t>2.6</w:t>
      </w:r>
      <w:r w:rsidR="008E701C" w:rsidRPr="00091B2C">
        <w:rPr>
          <w:szCs w:val="24"/>
          <w:lang w:val="es-ES"/>
        </w:rPr>
        <w:fldChar w:fldCharType="end"/>
      </w:r>
      <w:r w:rsidR="008E701C" w:rsidRPr="00091B2C">
        <w:rPr>
          <w:szCs w:val="24"/>
          <w:lang w:val="es-ES"/>
        </w:rPr>
        <w:t xml:space="preserve">, </w:t>
      </w:r>
      <w:r w:rsidR="008E701C" w:rsidRPr="00091B2C">
        <w:rPr>
          <w:szCs w:val="24"/>
          <w:lang w:val="es-ES"/>
        </w:rPr>
        <w:fldChar w:fldCharType="begin"/>
      </w:r>
      <w:r w:rsidR="008E701C" w:rsidRPr="00091B2C">
        <w:rPr>
          <w:szCs w:val="24"/>
          <w:lang w:val="es-ES"/>
        </w:rPr>
        <w:instrText xml:space="preserve"> REF _Ref50580705 \r \h </w:instrText>
      </w:r>
      <w:r w:rsidR="008E701C" w:rsidRPr="00091B2C">
        <w:rPr>
          <w:szCs w:val="24"/>
          <w:lang w:val="es-ES"/>
        </w:rPr>
      </w:r>
      <w:r w:rsidR="008E701C" w:rsidRPr="00091B2C">
        <w:rPr>
          <w:szCs w:val="24"/>
          <w:lang w:val="es-ES"/>
        </w:rPr>
        <w:fldChar w:fldCharType="separate"/>
      </w:r>
      <w:r w:rsidR="008E701C" w:rsidRPr="00091B2C">
        <w:rPr>
          <w:szCs w:val="24"/>
          <w:lang w:val="es-ES"/>
        </w:rPr>
        <w:t>2.7</w:t>
      </w:r>
      <w:r w:rsidR="008E701C" w:rsidRPr="00091B2C">
        <w:rPr>
          <w:szCs w:val="24"/>
          <w:lang w:val="es-ES"/>
        </w:rPr>
        <w:fldChar w:fldCharType="end"/>
      </w:r>
      <w:r w:rsidR="008E701C" w:rsidRPr="00091B2C">
        <w:rPr>
          <w:szCs w:val="24"/>
          <w:lang w:val="es-ES"/>
        </w:rPr>
        <w:t xml:space="preserve">, </w:t>
      </w:r>
      <w:r w:rsidRPr="005865FE">
        <w:rPr>
          <w:szCs w:val="24"/>
          <w:lang w:val="es-ES"/>
        </w:rPr>
        <w:t>3.2</w:t>
      </w:r>
      <w:r w:rsidRPr="005865FE">
        <w:rPr>
          <w:szCs w:val="24"/>
          <w:lang w:val="es-ES"/>
        </w:rPr>
        <w:fldChar w:fldCharType="end"/>
      </w:r>
      <w:r w:rsidR="00CD02A4">
        <w:rPr>
          <w:szCs w:val="24"/>
          <w:lang w:val="es-ES"/>
        </w:rPr>
        <w:t xml:space="preserve"> </w:t>
      </w:r>
      <w:r w:rsidRPr="005865FE">
        <w:rPr>
          <w:szCs w:val="24"/>
          <w:lang w:val="es-ES"/>
        </w:rPr>
        <w:fldChar w:fldCharType="begin"/>
      </w:r>
      <w:r w:rsidRPr="005865FE">
        <w:rPr>
          <w:szCs w:val="24"/>
          <w:lang w:val="es-ES"/>
        </w:rPr>
        <w:instrText xml:space="preserve"> REF _Ref41474851 \r \h </w:instrText>
      </w:r>
      <w:r w:rsidRPr="005865FE">
        <w:rPr>
          <w:szCs w:val="24"/>
          <w:lang w:val="es-ES"/>
        </w:rPr>
      </w:r>
      <w:r w:rsidRPr="005865FE">
        <w:rPr>
          <w:szCs w:val="24"/>
          <w:lang w:val="es-ES"/>
        </w:rPr>
        <w:fldChar w:fldCharType="separate"/>
      </w:r>
      <w:r w:rsidRPr="005865FE">
        <w:rPr>
          <w:szCs w:val="24"/>
          <w:lang w:val="es-ES"/>
        </w:rPr>
        <w:t>y 3.3</w:t>
      </w:r>
      <w:r w:rsidRPr="005865FE">
        <w:rPr>
          <w:szCs w:val="24"/>
          <w:lang w:val="es-ES"/>
        </w:rPr>
        <w:fldChar w:fldCharType="end"/>
      </w:r>
      <w:r w:rsidRPr="005865FE">
        <w:rPr>
          <w:szCs w:val="24"/>
          <w:lang w:val="es-ES"/>
        </w:rPr>
        <w:t xml:space="preserve"> del presente contrato, los valores en </w:t>
      </w:r>
      <w:r w:rsidR="00E00F14" w:rsidRPr="005865FE">
        <w:rPr>
          <w:szCs w:val="24"/>
          <w:lang w:val="es-ES"/>
        </w:rPr>
        <w:t>custodia</w:t>
      </w:r>
      <w:r w:rsidRPr="005865FE">
        <w:rPr>
          <w:szCs w:val="24"/>
          <w:lang w:val="es-ES"/>
        </w:rPr>
        <w:t xml:space="preserve"> serán liberados de conformidad con las disposiciones siguientes:</w:t>
      </w:r>
    </w:p>
    <w:p w14:paraId="39823709" w14:textId="63FDE417" w:rsidR="003E7053" w:rsidRPr="005865FE" w:rsidRDefault="00EB3B6A" w:rsidP="00AD0C2F">
      <w:pPr>
        <w:pStyle w:val="NumA4"/>
        <w:rPr>
          <w:lang w:val="es-ES"/>
        </w:rPr>
      </w:pPr>
      <w:r>
        <w:rPr>
          <w:lang w:val="es-ES"/>
        </w:rPr>
        <w:t>t</w:t>
      </w:r>
      <w:r w:rsidR="006F21B9" w:rsidRPr="005865FE">
        <w:rPr>
          <w:lang w:val="es-ES"/>
        </w:rPr>
        <w:t xml:space="preserve">odas las opciones otorgadas con anterioridad a la fecha del boletín final de la Bolsa relativo a la operación admisible y todas las acciones sujetas a opción emitidas con anterioridad a la fecha del boletín final de la Bolsa relativo a la operación admisible serán liberadas en esa fecha, </w:t>
      </w:r>
      <w:r w:rsidR="007420DC">
        <w:rPr>
          <w:lang w:val="es-ES"/>
        </w:rPr>
        <w:t>excepto las opciones</w:t>
      </w:r>
      <w:r w:rsidR="006F21B9" w:rsidRPr="005865FE">
        <w:rPr>
          <w:lang w:val="es-ES"/>
        </w:rPr>
        <w:t xml:space="preserve"> otorgadas con anterioridad a la oferta pública inicial del emisor y cuyo precio es inferior al precio de emisión de las acciones de la oferta pública inicial, y las acciones sujetas a opción emitidas conforme al ejercicio de las opciones en cuestión, las cuales se liberarán de conformidad con el cronograma de liberación presentado en el</w:t>
      </w:r>
      <w:r w:rsidR="00893A66">
        <w:rPr>
          <w:lang w:val="es-ES"/>
        </w:rPr>
        <w:t xml:space="preserve"> </w:t>
      </w:r>
      <w:r w:rsidR="006F21B9" w:rsidRPr="005865FE">
        <w:rPr>
          <w:lang w:val="es-ES"/>
        </w:rPr>
        <w:fldChar w:fldCharType="begin"/>
      </w:r>
      <w:r w:rsidR="006F21B9" w:rsidRPr="005865FE">
        <w:rPr>
          <w:lang w:val="es-ES"/>
        </w:rPr>
        <w:instrText xml:space="preserve"> REF _Ref31041961 \r \h  \* MERGEFORMAT </w:instrText>
      </w:r>
      <w:r w:rsidR="006F21B9" w:rsidRPr="005865FE">
        <w:rPr>
          <w:lang w:val="es-ES"/>
        </w:rPr>
      </w:r>
      <w:r w:rsidR="006F21B9" w:rsidRPr="005865FE">
        <w:rPr>
          <w:lang w:val="es-ES"/>
        </w:rPr>
        <w:fldChar w:fldCharType="separate"/>
      </w:r>
      <w:r w:rsidR="006F21B9" w:rsidRPr="005865FE">
        <w:rPr>
          <w:lang w:val="es-ES"/>
        </w:rPr>
        <w:t>párrafo</w:t>
      </w:r>
      <w:r w:rsidR="006F21B9" w:rsidRPr="005865FE">
        <w:rPr>
          <w:lang w:val="es-ES"/>
        </w:rPr>
        <w:fldChar w:fldCharType="end"/>
      </w:r>
      <w:r w:rsidR="006F21B9" w:rsidRPr="005865FE">
        <w:rPr>
          <w:lang w:val="es-ES"/>
        </w:rPr>
        <w:t xml:space="preserve"> 2.1 (b);</w:t>
      </w:r>
    </w:p>
    <w:p w14:paraId="53862F3B" w14:textId="52418718" w:rsidR="00A12836" w:rsidRPr="005865FE" w:rsidRDefault="00B15CC9" w:rsidP="00A12836">
      <w:pPr>
        <w:pStyle w:val="NumA4"/>
        <w:rPr>
          <w:b/>
          <w:lang w:val="es-ES"/>
        </w:rPr>
      </w:pPr>
      <w:bookmarkStart w:id="1" w:name="_Ref31041961"/>
      <w:r w:rsidRPr="005865FE">
        <w:rPr>
          <w:lang w:val="es-ES"/>
        </w:rPr>
        <w:t>salvo las opciones y las acciones sujetas a opción que se liberan a la fecha del boletín final de la Bolsa relativo a la operación admisible en virtud de las disposiciones del párrafo 2.1 (a), todos los valores en custodia se liberarán de conformidad con el cronograma de liberación siguiente:</w:t>
      </w:r>
    </w:p>
    <w:p w14:paraId="5DCED7E7" w14:textId="77777777" w:rsidR="00A12836" w:rsidRPr="005865FE" w:rsidRDefault="00A12836" w:rsidP="00A12836">
      <w:pPr>
        <w:tabs>
          <w:tab w:val="left" w:pos="720"/>
          <w:tab w:val="left" w:pos="1710"/>
        </w:tabs>
        <w:rPr>
          <w:b/>
          <w:szCs w:val="24"/>
          <w:u w:val="single"/>
          <w:lang w:val="es-ES"/>
        </w:rPr>
      </w:pPr>
    </w:p>
    <w:tbl>
      <w:tblPr>
        <w:tblStyle w:val="TableGrid"/>
        <w:tblW w:w="0" w:type="auto"/>
        <w:tblLook w:val="04A0" w:firstRow="1" w:lastRow="0" w:firstColumn="1" w:lastColumn="0" w:noHBand="0" w:noVBand="1"/>
      </w:tblPr>
      <w:tblGrid>
        <w:gridCol w:w="5575"/>
        <w:gridCol w:w="3775"/>
      </w:tblGrid>
      <w:tr w:rsidR="006B3412" w:rsidRPr="005865FE" w14:paraId="6B772085" w14:textId="77777777" w:rsidTr="00F92A73">
        <w:trPr>
          <w:cantSplit/>
          <w:tblHeader/>
        </w:trPr>
        <w:tc>
          <w:tcPr>
            <w:tcW w:w="5575" w:type="dxa"/>
          </w:tcPr>
          <w:p w14:paraId="633DA137" w14:textId="77777777" w:rsidR="00A12836" w:rsidRPr="005865FE" w:rsidRDefault="004A7E52" w:rsidP="00691436">
            <w:pPr>
              <w:pStyle w:val="Heading1"/>
              <w:numPr>
                <w:ilvl w:val="0"/>
                <w:numId w:val="0"/>
              </w:numPr>
              <w:jc w:val="center"/>
              <w:outlineLvl w:val="0"/>
              <w:rPr>
                <w:szCs w:val="24"/>
                <w:lang w:val="es-ES"/>
              </w:rPr>
            </w:pPr>
            <w:r w:rsidRPr="005865FE">
              <w:rPr>
                <w:szCs w:val="24"/>
                <w:lang w:val="es-ES"/>
              </w:rPr>
              <w:t>Fechas de liberación</w:t>
            </w:r>
          </w:p>
        </w:tc>
        <w:tc>
          <w:tcPr>
            <w:tcW w:w="3775" w:type="dxa"/>
          </w:tcPr>
          <w:p w14:paraId="4E5EB530" w14:textId="77777777" w:rsidR="00691436" w:rsidRPr="005865FE" w:rsidRDefault="00691436" w:rsidP="00691436">
            <w:pPr>
              <w:jc w:val="center"/>
              <w:rPr>
                <w:b/>
                <w:szCs w:val="24"/>
                <w:lang w:val="es-ES"/>
              </w:rPr>
            </w:pPr>
          </w:p>
          <w:p w14:paraId="2259D618" w14:textId="77777777" w:rsidR="00A12836" w:rsidRPr="005865FE" w:rsidRDefault="00F517E6" w:rsidP="00691436">
            <w:pPr>
              <w:jc w:val="center"/>
              <w:rPr>
                <w:b/>
                <w:szCs w:val="24"/>
                <w:lang w:val="es-ES"/>
              </w:rPr>
            </w:pPr>
            <w:r w:rsidRPr="005865FE">
              <w:rPr>
                <w:b/>
                <w:szCs w:val="24"/>
                <w:lang w:val="es-ES"/>
              </w:rPr>
              <w:t>Porcentaje liberado</w:t>
            </w:r>
          </w:p>
        </w:tc>
      </w:tr>
      <w:tr w:rsidR="006B3412" w:rsidRPr="005865FE" w14:paraId="0582DB01" w14:textId="77777777" w:rsidTr="00F92A73">
        <w:trPr>
          <w:cantSplit/>
          <w:tblHeader/>
        </w:trPr>
        <w:tc>
          <w:tcPr>
            <w:tcW w:w="5575" w:type="dxa"/>
          </w:tcPr>
          <w:p w14:paraId="54278B4C" w14:textId="77777777" w:rsidR="00A12836" w:rsidRPr="005865FE" w:rsidRDefault="001C40F4" w:rsidP="00F92A73">
            <w:pPr>
              <w:jc w:val="center"/>
              <w:rPr>
                <w:szCs w:val="24"/>
                <w:lang w:val="es-ES"/>
              </w:rPr>
            </w:pPr>
            <w:r w:rsidRPr="005865FE">
              <w:rPr>
                <w:szCs w:val="24"/>
                <w:lang w:val="es-ES"/>
              </w:rPr>
              <w:t xml:space="preserve">Fecha del boletín final de la Bolsa relativo a la operación admisible </w:t>
            </w:r>
          </w:p>
        </w:tc>
        <w:tc>
          <w:tcPr>
            <w:tcW w:w="3775" w:type="dxa"/>
          </w:tcPr>
          <w:p w14:paraId="0C17BB8E" w14:textId="77777777" w:rsidR="00A12836" w:rsidRPr="005865FE" w:rsidRDefault="004A7E52" w:rsidP="00F92A73">
            <w:pPr>
              <w:jc w:val="center"/>
              <w:rPr>
                <w:szCs w:val="24"/>
                <w:lang w:val="es-ES"/>
              </w:rPr>
            </w:pPr>
            <w:r w:rsidRPr="005865FE">
              <w:rPr>
                <w:szCs w:val="24"/>
                <w:lang w:val="es-ES"/>
              </w:rPr>
              <w:t>25%</w:t>
            </w:r>
          </w:p>
        </w:tc>
      </w:tr>
      <w:tr w:rsidR="006B3412" w:rsidRPr="005865FE" w14:paraId="4CDD5528" w14:textId="77777777" w:rsidTr="00F92A73">
        <w:trPr>
          <w:cantSplit/>
          <w:tblHeader/>
        </w:trPr>
        <w:tc>
          <w:tcPr>
            <w:tcW w:w="5575" w:type="dxa"/>
          </w:tcPr>
          <w:p w14:paraId="0818737C" w14:textId="77777777" w:rsidR="00A12836" w:rsidRPr="005865FE" w:rsidRDefault="00A77C3B" w:rsidP="00F92A73">
            <w:pPr>
              <w:jc w:val="center"/>
              <w:rPr>
                <w:szCs w:val="24"/>
                <w:lang w:val="es-ES"/>
              </w:rPr>
            </w:pPr>
            <w:r w:rsidRPr="005865FE">
              <w:rPr>
                <w:szCs w:val="24"/>
                <w:lang w:val="es-ES"/>
              </w:rPr>
              <w:t>Seis (6) meses después del boletín final de la Bolsa relativo a la operación admisible</w:t>
            </w:r>
          </w:p>
        </w:tc>
        <w:tc>
          <w:tcPr>
            <w:tcW w:w="3775" w:type="dxa"/>
          </w:tcPr>
          <w:p w14:paraId="2D12FF6A" w14:textId="77777777" w:rsidR="00A12836" w:rsidRPr="005865FE" w:rsidRDefault="004A7E52" w:rsidP="00F92A73">
            <w:pPr>
              <w:jc w:val="center"/>
              <w:rPr>
                <w:szCs w:val="24"/>
                <w:lang w:val="es-ES"/>
              </w:rPr>
            </w:pPr>
            <w:r w:rsidRPr="005865FE">
              <w:rPr>
                <w:szCs w:val="24"/>
                <w:lang w:val="es-ES"/>
              </w:rPr>
              <w:t>25%</w:t>
            </w:r>
          </w:p>
        </w:tc>
      </w:tr>
      <w:tr w:rsidR="006B3412" w:rsidRPr="005865FE" w14:paraId="4ACE04C3" w14:textId="77777777" w:rsidTr="00F92A73">
        <w:trPr>
          <w:cantSplit/>
          <w:tblHeader/>
        </w:trPr>
        <w:tc>
          <w:tcPr>
            <w:tcW w:w="5575" w:type="dxa"/>
          </w:tcPr>
          <w:p w14:paraId="6218BC97" w14:textId="77777777" w:rsidR="00A12836" w:rsidRPr="005865FE" w:rsidRDefault="00C570E2" w:rsidP="00F92A73">
            <w:pPr>
              <w:jc w:val="center"/>
              <w:rPr>
                <w:szCs w:val="24"/>
                <w:lang w:val="es-ES"/>
              </w:rPr>
            </w:pPr>
            <w:r w:rsidRPr="005865FE">
              <w:rPr>
                <w:szCs w:val="24"/>
                <w:lang w:val="es-ES"/>
              </w:rPr>
              <w:t>Doce (12) meses después del boletín final de la Bolsa relativo a la operación admisible</w:t>
            </w:r>
          </w:p>
        </w:tc>
        <w:tc>
          <w:tcPr>
            <w:tcW w:w="3775" w:type="dxa"/>
          </w:tcPr>
          <w:p w14:paraId="6A07DD9F" w14:textId="77777777" w:rsidR="00A12836" w:rsidRPr="005865FE" w:rsidRDefault="004A7E52" w:rsidP="00F92A73">
            <w:pPr>
              <w:jc w:val="center"/>
              <w:rPr>
                <w:szCs w:val="24"/>
                <w:lang w:val="es-ES"/>
              </w:rPr>
            </w:pPr>
            <w:r w:rsidRPr="005865FE">
              <w:rPr>
                <w:szCs w:val="24"/>
                <w:lang w:val="es-ES"/>
              </w:rPr>
              <w:t>25%</w:t>
            </w:r>
          </w:p>
        </w:tc>
      </w:tr>
      <w:tr w:rsidR="006B3412" w:rsidRPr="005865FE" w14:paraId="1D2092EF" w14:textId="77777777" w:rsidTr="00F92A73">
        <w:trPr>
          <w:cantSplit/>
          <w:tblHeader/>
        </w:trPr>
        <w:tc>
          <w:tcPr>
            <w:tcW w:w="5575" w:type="dxa"/>
          </w:tcPr>
          <w:p w14:paraId="5C998B2C" w14:textId="77777777" w:rsidR="00A12836" w:rsidRPr="005865FE" w:rsidRDefault="005F30AF" w:rsidP="00F92A73">
            <w:pPr>
              <w:jc w:val="center"/>
              <w:rPr>
                <w:szCs w:val="24"/>
                <w:lang w:val="es-ES"/>
              </w:rPr>
            </w:pPr>
            <w:r w:rsidRPr="005865FE">
              <w:rPr>
                <w:szCs w:val="24"/>
                <w:lang w:val="es-ES"/>
              </w:rPr>
              <w:t>Dieciocho (18) meses después del boletín final de la Bolsa relativo a la operación admisible</w:t>
            </w:r>
          </w:p>
        </w:tc>
        <w:tc>
          <w:tcPr>
            <w:tcW w:w="3775" w:type="dxa"/>
          </w:tcPr>
          <w:p w14:paraId="097D0B20" w14:textId="77777777" w:rsidR="00A12836" w:rsidRPr="005865FE" w:rsidRDefault="004A7E52" w:rsidP="00F92A73">
            <w:pPr>
              <w:jc w:val="center"/>
              <w:rPr>
                <w:szCs w:val="24"/>
                <w:lang w:val="es-ES"/>
              </w:rPr>
            </w:pPr>
            <w:r w:rsidRPr="005865FE">
              <w:rPr>
                <w:szCs w:val="24"/>
                <w:lang w:val="es-ES"/>
              </w:rPr>
              <w:t>25%</w:t>
            </w:r>
          </w:p>
        </w:tc>
      </w:tr>
      <w:tr w:rsidR="006B3412" w:rsidRPr="005865FE" w14:paraId="06A11A7B" w14:textId="77777777" w:rsidTr="00F92A73">
        <w:trPr>
          <w:cantSplit/>
          <w:tblHeader/>
        </w:trPr>
        <w:tc>
          <w:tcPr>
            <w:tcW w:w="5575" w:type="dxa"/>
          </w:tcPr>
          <w:p w14:paraId="05B1992B" w14:textId="77777777" w:rsidR="00A12836" w:rsidRPr="005865FE" w:rsidRDefault="004A7E52" w:rsidP="00F92A73">
            <w:pPr>
              <w:pStyle w:val="Heading2"/>
              <w:numPr>
                <w:ilvl w:val="0"/>
                <w:numId w:val="0"/>
              </w:numPr>
              <w:jc w:val="center"/>
              <w:outlineLvl w:val="1"/>
              <w:rPr>
                <w:b w:val="0"/>
                <w:lang w:val="es-ES"/>
              </w:rPr>
            </w:pPr>
            <w:r w:rsidRPr="005865FE">
              <w:rPr>
                <w:b w:val="0"/>
                <w:lang w:val="es-ES"/>
              </w:rPr>
              <w:t>TOTAL</w:t>
            </w:r>
          </w:p>
        </w:tc>
        <w:tc>
          <w:tcPr>
            <w:tcW w:w="3775" w:type="dxa"/>
          </w:tcPr>
          <w:p w14:paraId="094DBEE5" w14:textId="77777777" w:rsidR="00A12836" w:rsidRPr="005865FE" w:rsidRDefault="004A7E52" w:rsidP="00F92A73">
            <w:pPr>
              <w:jc w:val="center"/>
              <w:rPr>
                <w:szCs w:val="24"/>
                <w:lang w:val="es-ES"/>
              </w:rPr>
            </w:pPr>
            <w:r w:rsidRPr="005865FE">
              <w:rPr>
                <w:szCs w:val="24"/>
                <w:lang w:val="es-ES"/>
              </w:rPr>
              <w:br/>
              <w:t>100%</w:t>
            </w:r>
          </w:p>
        </w:tc>
      </w:tr>
    </w:tbl>
    <w:p w14:paraId="6D819881" w14:textId="77777777" w:rsidR="002844A0" w:rsidRPr="005865FE" w:rsidRDefault="002844A0" w:rsidP="00A822EF">
      <w:pPr>
        <w:pStyle w:val="NumA4"/>
        <w:numPr>
          <w:ilvl w:val="0"/>
          <w:numId w:val="0"/>
        </w:numPr>
        <w:spacing w:before="0"/>
        <w:rPr>
          <w:lang w:val="es-ES"/>
        </w:rPr>
      </w:pPr>
    </w:p>
    <w:bookmarkEnd w:id="1"/>
    <w:p w14:paraId="1FC47311" w14:textId="77777777" w:rsidR="006913AC" w:rsidRPr="005865FE" w:rsidRDefault="004A7E52">
      <w:pPr>
        <w:pStyle w:val="NumA2"/>
        <w:rPr>
          <w:lang w:val="es-ES"/>
        </w:rPr>
      </w:pPr>
      <w:r w:rsidRPr="005865FE">
        <w:rPr>
          <w:lang w:val="es-ES"/>
        </w:rPr>
        <w:t>Valores adicionales en custodia</w:t>
      </w:r>
    </w:p>
    <w:p w14:paraId="4E7F23B9" w14:textId="5DAEA32D" w:rsidR="006913AC" w:rsidRPr="005865FE" w:rsidRDefault="007368CB">
      <w:pPr>
        <w:pStyle w:val="BodyText"/>
        <w:rPr>
          <w:lang w:val="es-ES"/>
        </w:rPr>
      </w:pPr>
      <w:r w:rsidRPr="005865FE">
        <w:rPr>
          <w:lang w:val="es-ES"/>
        </w:rPr>
        <w:t xml:space="preserve">Si usted adquiere valores adicionales en custodia en relación con la operación contemplada </w:t>
      </w:r>
      <w:r w:rsidR="00122771">
        <w:rPr>
          <w:lang w:val="es-ES"/>
        </w:rPr>
        <w:t xml:space="preserve">en </w:t>
      </w:r>
      <w:r w:rsidRPr="005865FE">
        <w:rPr>
          <w:lang w:val="es-ES"/>
        </w:rPr>
        <w:t xml:space="preserve">el presente contrato, esos valores se agregarán a los valores ya en </w:t>
      </w:r>
      <w:r w:rsidR="0028707F" w:rsidRPr="005865FE">
        <w:rPr>
          <w:lang w:val="es-ES"/>
        </w:rPr>
        <w:t>custodia, tras</w:t>
      </w:r>
      <w:r w:rsidR="00FB6AF0" w:rsidRPr="005865FE">
        <w:rPr>
          <w:lang w:val="es-ES"/>
        </w:rPr>
        <w:t xml:space="preserve"> lo cual, todos los valores serán liberados de conformidad con el cronograma de liberación aplicable.</w:t>
      </w:r>
    </w:p>
    <w:p w14:paraId="7E8A5428" w14:textId="77777777" w:rsidR="006913AC" w:rsidRPr="005865FE" w:rsidRDefault="004A7E52">
      <w:pPr>
        <w:pStyle w:val="NumA2"/>
        <w:rPr>
          <w:lang w:val="es-ES"/>
        </w:rPr>
      </w:pPr>
      <w:r w:rsidRPr="005865FE">
        <w:rPr>
          <w:lang w:val="es-ES"/>
        </w:rPr>
        <w:t>Entrega de certificados para los valores en custodia</w:t>
      </w:r>
    </w:p>
    <w:p w14:paraId="1BCB8E93" w14:textId="77777777" w:rsidR="006913AC" w:rsidRPr="005865FE" w:rsidRDefault="00FD3A75">
      <w:pPr>
        <w:pStyle w:val="NumAext2"/>
        <w:rPr>
          <w:lang w:val="es-ES"/>
        </w:rPr>
      </w:pPr>
      <w:r w:rsidRPr="005865FE">
        <w:rPr>
          <w:lang w:val="es-ES"/>
        </w:rPr>
        <w:t>El agente de custodia se compromete a hacer llegar a cada tenedor de valores todos los certificados u otros comprobantes que se encuentren en su poder de los valores en custodia que han sido liberados, tan pronto como sea posible con posterioridad a su liberación.</w:t>
      </w:r>
    </w:p>
    <w:p w14:paraId="6B29639C" w14:textId="77777777" w:rsidR="006913AC" w:rsidRPr="005865FE" w:rsidRDefault="00653863">
      <w:pPr>
        <w:pStyle w:val="NumA2"/>
        <w:rPr>
          <w:lang w:val="es-ES"/>
        </w:rPr>
      </w:pPr>
      <w:r w:rsidRPr="005865FE">
        <w:rPr>
          <w:lang w:val="es-ES"/>
        </w:rPr>
        <w:t>Certificados de reemplazo</w:t>
      </w:r>
    </w:p>
    <w:p w14:paraId="2DDF3915" w14:textId="2A2837B8" w:rsidR="006913AC" w:rsidRPr="005865FE" w:rsidRDefault="001A24E0">
      <w:pPr>
        <w:pStyle w:val="NumAext2"/>
        <w:rPr>
          <w:lang w:val="es-ES"/>
        </w:rPr>
      </w:pPr>
      <w:r w:rsidRPr="005865FE">
        <w:rPr>
          <w:lang w:val="es-ES"/>
        </w:rPr>
        <w:t>Si, en la fecha en que tienen que ser liberados los valores en custodia de un tenedor de valores, el agente de custodia tiene un certificado de valor u otro comprobante que representa un número de valores en custodia superior al número de valores que deben liberarse, este entregará el certificado de valores u otros comprobantes al emisor o a su agente de transferencia y solicitará un certificado o comprobante de reemplazo.</w:t>
      </w:r>
      <w:r w:rsidR="004A7E52" w:rsidRPr="005865FE">
        <w:rPr>
          <w:lang w:val="es-ES"/>
        </w:rPr>
        <w:t xml:space="preserve"> </w:t>
      </w:r>
      <w:r w:rsidR="0003758A" w:rsidRPr="005865FE">
        <w:rPr>
          <w:lang w:val="es-ES"/>
        </w:rPr>
        <w:t>El emisor hará que se prepare y entregue un certificado u otro comprobante de reemplazo al agente de custodia.</w:t>
      </w:r>
      <w:r w:rsidR="004A7E52" w:rsidRPr="005865FE">
        <w:rPr>
          <w:lang w:val="es-ES"/>
        </w:rPr>
        <w:t xml:space="preserve"> </w:t>
      </w:r>
      <w:r w:rsidR="00C74C9D" w:rsidRPr="005865FE">
        <w:rPr>
          <w:lang w:val="es-ES"/>
        </w:rPr>
        <w:t>Luego de que reciba el certificado u otro comprobante de reemplazo, el agente de custodia entregará al tenedor de valores, o según las instrucciones de este último</w:t>
      </w:r>
      <w:r w:rsidR="00CF48E8">
        <w:rPr>
          <w:lang w:val="es-ES"/>
        </w:rPr>
        <w:t>,</w:t>
      </w:r>
      <w:r w:rsidR="00C74C9D" w:rsidRPr="005865FE">
        <w:rPr>
          <w:lang w:val="es-ES"/>
        </w:rPr>
        <w:t xml:space="preserve"> el certificado u otro comprobante de reemplazo de los valores en custodia que fueron liberados.</w:t>
      </w:r>
      <w:r w:rsidR="004A7E52" w:rsidRPr="005865FE">
        <w:rPr>
          <w:lang w:val="es-ES"/>
        </w:rPr>
        <w:t xml:space="preserve"> </w:t>
      </w:r>
      <w:r w:rsidR="00947DE1" w:rsidRPr="005865FE">
        <w:rPr>
          <w:lang w:val="es-ES"/>
        </w:rPr>
        <w:t xml:space="preserve">El agente de custodia y el emisor se </w:t>
      </w:r>
      <w:r w:rsidR="0028707F" w:rsidRPr="005865FE">
        <w:rPr>
          <w:lang w:val="es-ES"/>
        </w:rPr>
        <w:t>comprometen</w:t>
      </w:r>
      <w:r w:rsidR="00947DE1" w:rsidRPr="005865FE">
        <w:rPr>
          <w:lang w:val="es-ES"/>
        </w:rPr>
        <w:t xml:space="preserve"> a actuar tan pronto como sea razonablemente posible.</w:t>
      </w:r>
    </w:p>
    <w:p w14:paraId="679D9333" w14:textId="77777777" w:rsidR="006913AC" w:rsidRPr="005865FE" w:rsidRDefault="004A19BE">
      <w:pPr>
        <w:pStyle w:val="NumA2"/>
        <w:rPr>
          <w:lang w:val="es-ES"/>
        </w:rPr>
      </w:pPr>
      <w:r w:rsidRPr="005865FE">
        <w:rPr>
          <w:lang w:val="es-ES"/>
        </w:rPr>
        <w:t>Liberación en caso de fallecimiento</w:t>
      </w:r>
    </w:p>
    <w:p w14:paraId="2324EAB0" w14:textId="77777777" w:rsidR="006913AC" w:rsidRPr="005865FE" w:rsidRDefault="00B809F1">
      <w:pPr>
        <w:pStyle w:val="NumA3"/>
        <w:rPr>
          <w:lang w:val="es-ES"/>
        </w:rPr>
      </w:pPr>
      <w:r w:rsidRPr="005865FE">
        <w:rPr>
          <w:lang w:val="es-ES"/>
        </w:rPr>
        <w:t>Cuando fallece un tenedor de valores, sus valores en custodia son liberados</w:t>
      </w:r>
      <w:r w:rsidR="004A7E52" w:rsidRPr="005865FE">
        <w:rPr>
          <w:lang w:val="es-ES"/>
        </w:rPr>
        <w:t xml:space="preserve"> </w:t>
      </w:r>
      <w:r w:rsidR="00884D0A" w:rsidRPr="005865FE">
        <w:rPr>
          <w:lang w:val="es-ES"/>
        </w:rPr>
        <w:t>y el agente de custodia entrega a los representantes legales del tenedor de valores todos los certificados u otros comprobantes de los valores en custodia que tiene en su poder siempre que:</w:t>
      </w:r>
    </w:p>
    <w:p w14:paraId="5A4C2FA3" w14:textId="77777777" w:rsidR="006913AC" w:rsidRPr="005865FE" w:rsidRDefault="00AD3230">
      <w:pPr>
        <w:pStyle w:val="NumA4"/>
        <w:rPr>
          <w:lang w:val="es-ES"/>
        </w:rPr>
      </w:pPr>
      <w:r w:rsidRPr="005865FE">
        <w:rPr>
          <w:lang w:val="es-ES"/>
        </w:rPr>
        <w:t>el representante legal del tenedor de valores fallecido provea una nota por escrito a la Bolsa de la intención de liberar los valores en custodia a partir de una fecha específica que por lo menos sea 10 días hábiles y no más de 30 días hábiles anteriores a la liberación propuesta;</w:t>
      </w:r>
    </w:p>
    <w:p w14:paraId="37CC67EB" w14:textId="77777777" w:rsidR="006913AC" w:rsidRPr="005865FE" w:rsidRDefault="00F33331">
      <w:pPr>
        <w:pStyle w:val="NumA4"/>
        <w:rPr>
          <w:lang w:val="es-ES"/>
        </w:rPr>
      </w:pPr>
      <w:r w:rsidRPr="005865FE">
        <w:rPr>
          <w:lang w:val="es-ES"/>
        </w:rPr>
        <w:t>la Bolsa no envíe un aviso de objeción al agente de custodia antes de las 10:00 hs.</w:t>
      </w:r>
      <w:r w:rsidR="004A7E52" w:rsidRPr="005865FE">
        <w:rPr>
          <w:lang w:val="es-ES"/>
        </w:rPr>
        <w:t xml:space="preserve"> (hora de Vancouver) o 11:00 hs. (hora de Calgary) en dicha fecha específica.</w:t>
      </w:r>
    </w:p>
    <w:p w14:paraId="37BB64D5" w14:textId="77777777" w:rsidR="006913AC" w:rsidRPr="005865FE" w:rsidRDefault="00B5276C">
      <w:pPr>
        <w:pStyle w:val="NumA3"/>
        <w:rPr>
          <w:lang w:val="es-ES"/>
        </w:rPr>
      </w:pPr>
      <w:r w:rsidRPr="005865FE">
        <w:rPr>
          <w:lang w:val="es-ES"/>
        </w:rPr>
        <w:t>Antes de proceder a la entrega el agente de custodia debe haber recibido:</w:t>
      </w:r>
    </w:p>
    <w:p w14:paraId="2B181DA4" w14:textId="78E77DA9" w:rsidR="006913AC" w:rsidRPr="005865FE" w:rsidRDefault="005359D9">
      <w:pPr>
        <w:pStyle w:val="NumA4"/>
        <w:rPr>
          <w:lang w:val="es-ES"/>
        </w:rPr>
      </w:pPr>
      <w:r w:rsidRPr="005865FE">
        <w:rPr>
          <w:lang w:val="es-ES"/>
        </w:rPr>
        <w:t xml:space="preserve">una copia certificada del </w:t>
      </w:r>
      <w:r w:rsidR="00B96CF9">
        <w:rPr>
          <w:lang w:val="es-ES"/>
        </w:rPr>
        <w:t>acta</w:t>
      </w:r>
      <w:r w:rsidRPr="005865FE">
        <w:rPr>
          <w:lang w:val="es-ES"/>
        </w:rPr>
        <w:t xml:space="preserve"> de defunción;</w:t>
      </w:r>
    </w:p>
    <w:p w14:paraId="5735E362" w14:textId="77777777" w:rsidR="006913AC" w:rsidRPr="005865FE" w:rsidRDefault="004B5541">
      <w:pPr>
        <w:pStyle w:val="NumA4"/>
        <w:rPr>
          <w:lang w:val="es-ES"/>
        </w:rPr>
      </w:pPr>
      <w:r w:rsidRPr="005865FE">
        <w:rPr>
          <w:lang w:val="es-ES"/>
        </w:rPr>
        <w:t>la prueba de la capacidad del representante legal que el agente de custodia pueda solicitar razonablemente.</w:t>
      </w:r>
    </w:p>
    <w:p w14:paraId="49611964" w14:textId="77777777" w:rsidR="006913AC" w:rsidRPr="005865FE" w:rsidRDefault="00C3328D">
      <w:pPr>
        <w:pStyle w:val="NumA2"/>
        <w:rPr>
          <w:lang w:val="es-ES"/>
        </w:rPr>
      </w:pPr>
      <w:r w:rsidRPr="005865FE">
        <w:rPr>
          <w:lang w:val="es-ES"/>
        </w:rPr>
        <w:t>Poder discrecional de la Bolsa para cancelar la liberación</w:t>
      </w:r>
    </w:p>
    <w:p w14:paraId="2D17F5A9" w14:textId="77777777" w:rsidR="006913AC" w:rsidRPr="005865FE" w:rsidRDefault="009A7557">
      <w:pPr>
        <w:pStyle w:val="NumAext2"/>
        <w:rPr>
          <w:lang w:val="es-ES"/>
        </w:rPr>
      </w:pPr>
      <w:r w:rsidRPr="005865FE">
        <w:rPr>
          <w:lang w:val="es-ES"/>
        </w:rPr>
        <w:t>El agente de custodia debe cumplir con toda solicitud de la Bolsa para suspender o cancelar la liberación de los valores en custodia, y no libera ningún valor en custodia hasta que haya recibido el consentimiento escrito de la Bolsa.</w:t>
      </w:r>
    </w:p>
    <w:p w14:paraId="0B381031" w14:textId="77777777" w:rsidR="006913AC" w:rsidRPr="005865FE" w:rsidRDefault="004A7E52">
      <w:pPr>
        <w:pStyle w:val="NumA2"/>
        <w:rPr>
          <w:lang w:val="es-ES"/>
        </w:rPr>
      </w:pPr>
      <w:r w:rsidRPr="005865FE">
        <w:rPr>
          <w:lang w:val="es-ES"/>
        </w:rPr>
        <w:t>Aplicaciones de discrecionalidad</w:t>
      </w:r>
    </w:p>
    <w:p w14:paraId="00D1D955" w14:textId="77777777" w:rsidR="006913AC" w:rsidRPr="005865FE" w:rsidRDefault="006E3110">
      <w:pPr>
        <w:pStyle w:val="NumAext2"/>
        <w:rPr>
          <w:lang w:val="es-ES"/>
        </w:rPr>
      </w:pPr>
      <w:r w:rsidRPr="005865FE">
        <w:rPr>
          <w:lang w:val="es-ES"/>
        </w:rPr>
        <w:t>La Bolsa puede acceder a la liberación de los valores en custodia en otras circunstancias, según los términos y condiciones que considere adecuados.</w:t>
      </w:r>
      <w:r w:rsidR="004A7E52" w:rsidRPr="005865FE">
        <w:rPr>
          <w:lang w:val="es-ES"/>
        </w:rPr>
        <w:t xml:space="preserve"> </w:t>
      </w:r>
      <w:r w:rsidR="00B41C45" w:rsidRPr="005865FE">
        <w:rPr>
          <w:lang w:val="es-ES"/>
        </w:rPr>
        <w:t>Los valores en custodia pueden ser liberados siempre que el agente de custodia haya recibido una notificación escrita de la Bolsa.</w:t>
      </w:r>
    </w:p>
    <w:p w14:paraId="0D8B47D5" w14:textId="77777777" w:rsidR="006913AC" w:rsidRPr="005865FE" w:rsidRDefault="005F7688">
      <w:pPr>
        <w:pStyle w:val="NumA1"/>
        <w:rPr>
          <w:lang w:val="es-ES"/>
        </w:rPr>
      </w:pPr>
      <w:r w:rsidRPr="005865FE">
        <w:rPr>
          <w:lang w:val="es-ES"/>
        </w:rPr>
        <w:t>CANCELACIÓN DE VALORES EN CUSTODIA</w:t>
      </w:r>
    </w:p>
    <w:p w14:paraId="334F6177" w14:textId="77777777" w:rsidR="006913AC" w:rsidRPr="005865FE" w:rsidRDefault="009729E3">
      <w:pPr>
        <w:pStyle w:val="NumA2"/>
        <w:rPr>
          <w:lang w:val="es-ES"/>
        </w:rPr>
      </w:pPr>
      <w:r w:rsidRPr="005865FE">
        <w:rPr>
          <w:lang w:val="es-ES"/>
        </w:rPr>
        <w:t xml:space="preserve">Exclusión de la cotización de los valores del emisor </w:t>
      </w:r>
    </w:p>
    <w:p w14:paraId="075AE238" w14:textId="77777777" w:rsidR="006913AC" w:rsidRPr="005865FE" w:rsidRDefault="008D3ECA">
      <w:pPr>
        <w:pStyle w:val="NumAext2"/>
        <w:rPr>
          <w:lang w:val="es-ES"/>
        </w:rPr>
      </w:pPr>
      <w:r w:rsidRPr="005865FE">
        <w:rPr>
          <w:color w:val="000000"/>
          <w:szCs w:val="24"/>
          <w:lang w:val="es-ES"/>
        </w:rPr>
        <w:t xml:space="preserve">Si la Bolsa emite un boletín </w:t>
      </w:r>
      <w:r w:rsidRPr="005865FE">
        <w:rPr>
          <w:szCs w:val="24"/>
          <w:lang w:val="es-ES"/>
        </w:rPr>
        <w:t>indicando que los títulos del emisor serán excluidos de la cotización, el emisor deberá notificar inmediatamente al agente de custodia.</w:t>
      </w:r>
    </w:p>
    <w:p w14:paraId="44A54138" w14:textId="77777777" w:rsidR="006913AC" w:rsidRPr="00EB3B6A" w:rsidRDefault="0092118B">
      <w:pPr>
        <w:pStyle w:val="NumA2"/>
        <w:rPr>
          <w:bCs/>
          <w:lang w:val="es-ES"/>
        </w:rPr>
      </w:pPr>
      <w:r w:rsidRPr="00EB3B6A">
        <w:rPr>
          <w:bCs/>
          <w:lang w:val="es-ES"/>
        </w:rPr>
        <w:t>Cancelación de ciertos valores en custodia de los cuales son tenedores partes relacionadas con el emisor</w:t>
      </w:r>
    </w:p>
    <w:p w14:paraId="12C3CC63" w14:textId="77777777" w:rsidR="006913AC" w:rsidRPr="005865FE" w:rsidRDefault="00674388">
      <w:pPr>
        <w:pStyle w:val="NumA3"/>
        <w:rPr>
          <w:lang w:val="es-ES"/>
        </w:rPr>
      </w:pPr>
      <w:r w:rsidRPr="005865FE">
        <w:rPr>
          <w:lang w:val="es-ES"/>
        </w:rPr>
        <w:t>Si los valores del emisor son excluidos de la cotización antes del perfeccionamiento de una operación admisible:</w:t>
      </w:r>
    </w:p>
    <w:p w14:paraId="7C84B53F" w14:textId="0C7ECD42" w:rsidR="006913AC" w:rsidRPr="005865FE" w:rsidRDefault="002B23DD">
      <w:pPr>
        <w:pStyle w:val="NumA4"/>
        <w:rPr>
          <w:lang w:val="es-ES"/>
        </w:rPr>
      </w:pPr>
      <w:r w:rsidRPr="005865FE">
        <w:rPr>
          <w:lang w:val="es-ES"/>
        </w:rPr>
        <w:t xml:space="preserve">el agente de custodia entregará una notificación al respecto al emisor, acompañada de los certificados en su poder como comprobante de los valores en custodia de los cuales son tenedores las partes relacionadas con el emisor, que fueron adquiridos con anterioridad a la oferta pública inicial del emisor con descuento del precio ofrecido en la oferta pública inicial </w:t>
      </w:r>
      <w:r w:rsidR="002E048C" w:rsidRPr="00091B2C">
        <w:rPr>
          <w:lang w:val="es-ES"/>
        </w:rPr>
        <w:t xml:space="preserve">y todas las opciones y acciones sujetas a opción de las que esas personas son titulares </w:t>
      </w:r>
      <w:r w:rsidRPr="005865FE">
        <w:rPr>
          <w:lang w:val="es-ES"/>
        </w:rPr>
        <w:t>(</w:t>
      </w:r>
      <w:r w:rsidR="00222F0E">
        <w:rPr>
          <w:lang w:val="es-ES"/>
        </w:rPr>
        <w:t>en conjunto</w:t>
      </w:r>
      <w:r w:rsidR="00D53B1A">
        <w:rPr>
          <w:lang w:val="es-ES"/>
        </w:rPr>
        <w:t>,</w:t>
      </w:r>
      <w:r w:rsidR="00222F0E">
        <w:rPr>
          <w:lang w:val="es-ES"/>
        </w:rPr>
        <w:t xml:space="preserve"> </w:t>
      </w:r>
      <w:r w:rsidRPr="005865FE">
        <w:rPr>
          <w:lang w:val="es-ES"/>
        </w:rPr>
        <w:t>las “</w:t>
      </w:r>
      <w:r w:rsidRPr="005865FE">
        <w:rPr>
          <w:b/>
          <w:lang w:val="es-ES"/>
        </w:rPr>
        <w:t>acciones de lanzamiento descontadas</w:t>
      </w:r>
      <w:r w:rsidRPr="005865FE">
        <w:rPr>
          <w:lang w:val="es-ES"/>
        </w:rPr>
        <w:t>”);</w:t>
      </w:r>
    </w:p>
    <w:p w14:paraId="0A2A3670" w14:textId="1428EDA0" w:rsidR="006913AC" w:rsidRPr="005865FE" w:rsidRDefault="00745F64">
      <w:pPr>
        <w:pStyle w:val="NumA4"/>
        <w:rPr>
          <w:lang w:val="es-ES"/>
        </w:rPr>
      </w:pPr>
      <w:r w:rsidRPr="005865FE">
        <w:rPr>
          <w:lang w:val="es-ES"/>
        </w:rPr>
        <w:t xml:space="preserve">el emisor y el agente de custodia deberán tomar las medidas que consideren </w:t>
      </w:r>
      <w:r w:rsidR="0028707F" w:rsidRPr="005865FE">
        <w:rPr>
          <w:lang w:val="es-ES"/>
        </w:rPr>
        <w:t>oportunas</w:t>
      </w:r>
      <w:r w:rsidRPr="005865FE">
        <w:rPr>
          <w:lang w:val="es-ES"/>
        </w:rPr>
        <w:t xml:space="preserve"> para cancelar las acciones de lanzamiento descontadas de conformidad con la Política.</w:t>
      </w:r>
    </w:p>
    <w:p w14:paraId="1077269B" w14:textId="77777777" w:rsidR="006913AC" w:rsidRPr="005865FE" w:rsidRDefault="00FD5C43">
      <w:pPr>
        <w:pStyle w:val="NumA3"/>
        <w:rPr>
          <w:lang w:val="es-ES"/>
        </w:rPr>
      </w:pPr>
      <w:r w:rsidRPr="005865FE">
        <w:rPr>
          <w:lang w:val="es-ES"/>
        </w:rPr>
        <w:t>A los fines de la cancelación de las acciones de lanzamiento descontadas, cada tenedor de valores designa en forma irrevocable al agente de custodia como su apoderado y le confiere la autoridad para designar apoderados suplentes, según sea necesario.</w:t>
      </w:r>
    </w:p>
    <w:p w14:paraId="4610B976" w14:textId="77777777" w:rsidR="006913AC" w:rsidRPr="005865FE" w:rsidRDefault="004A7E52">
      <w:pPr>
        <w:pStyle w:val="NumA2"/>
        <w:rPr>
          <w:lang w:val="es-ES"/>
        </w:rPr>
      </w:pPr>
      <w:bookmarkStart w:id="2" w:name="_Ref41474851"/>
      <w:r w:rsidRPr="005865FE">
        <w:rPr>
          <w:lang w:val="es-ES"/>
        </w:rPr>
        <w:t>Cancelación de otros valores en custodia</w:t>
      </w:r>
      <w:bookmarkEnd w:id="2"/>
    </w:p>
    <w:p w14:paraId="0AA7C3B4" w14:textId="313540EE" w:rsidR="006913AC" w:rsidRPr="005865FE" w:rsidRDefault="00FC543B">
      <w:pPr>
        <w:pStyle w:val="NumA3"/>
        <w:rPr>
          <w:lang w:val="es-ES"/>
        </w:rPr>
      </w:pPr>
      <w:r w:rsidRPr="005865FE">
        <w:rPr>
          <w:lang w:val="es-ES"/>
        </w:rPr>
        <w:t xml:space="preserve">Aquellos valores en custodia que no hayan sido liberados de la custodia en virtud del presente contrato a las 16:30 </w:t>
      </w:r>
      <w:r w:rsidR="0028707F" w:rsidRPr="005865FE">
        <w:rPr>
          <w:lang w:val="es-ES"/>
        </w:rPr>
        <w:t>hs (</w:t>
      </w:r>
      <w:r w:rsidR="00886FE6" w:rsidRPr="005865FE">
        <w:rPr>
          <w:lang w:val="es-ES"/>
        </w:rPr>
        <w:t>hora de Vancouver) o 17:30 hs</w:t>
      </w:r>
      <w:r w:rsidR="00886FE6" w:rsidRPr="005865FE">
        <w:rPr>
          <w:lang w:val="es-ES"/>
        </w:rPr>
        <w:br/>
      </w:r>
      <w:r w:rsidR="004A7E52" w:rsidRPr="005865FE">
        <w:rPr>
          <w:lang w:val="es-ES"/>
        </w:rPr>
        <w:t xml:space="preserve"> </w:t>
      </w:r>
      <w:r w:rsidR="00235BEB" w:rsidRPr="005865FE">
        <w:rPr>
          <w:lang w:val="es-ES"/>
        </w:rPr>
        <w:t xml:space="preserve">(hora de Calgary) en la fecha que sea el décimo aniversario de la fecha en que el emisor fue excluido de la cotización de la Bolsa deben cancelarse de </w:t>
      </w:r>
      <w:r w:rsidR="0028707F" w:rsidRPr="005865FE">
        <w:rPr>
          <w:lang w:val="es-ES"/>
        </w:rPr>
        <w:t>inmediato</w:t>
      </w:r>
      <w:r w:rsidR="00235BEB" w:rsidRPr="005865FE">
        <w:rPr>
          <w:lang w:val="es-ES"/>
        </w:rPr>
        <w:t>.</w:t>
      </w:r>
      <w:r w:rsidR="004A7E52" w:rsidRPr="005865FE">
        <w:rPr>
          <w:lang w:val="es-ES"/>
        </w:rPr>
        <w:t xml:space="preserve"> </w:t>
      </w:r>
      <w:r w:rsidR="00751807" w:rsidRPr="005865FE">
        <w:rPr>
          <w:lang w:val="es-ES"/>
        </w:rPr>
        <w:t>El agente de custodia deberá entregar una notificación al respecto al emisor, acompañada de los certificados de los valores en custodia en su poder.</w:t>
      </w:r>
      <w:r w:rsidR="004A7E52" w:rsidRPr="005865FE">
        <w:rPr>
          <w:lang w:val="es-ES"/>
        </w:rPr>
        <w:t xml:space="preserve"> </w:t>
      </w:r>
      <w:r w:rsidR="0092457D" w:rsidRPr="005865FE">
        <w:rPr>
          <w:lang w:val="es-ES"/>
        </w:rPr>
        <w:t>El emisor y el agente de custodia deberán tomar todas las medidas necesarias para hacer efectiva la cancelación con toda prontitud.</w:t>
      </w:r>
    </w:p>
    <w:p w14:paraId="610B9014" w14:textId="610F3EC6" w:rsidR="006913AC" w:rsidRPr="005865FE" w:rsidRDefault="005E470B">
      <w:pPr>
        <w:pStyle w:val="NumA3"/>
        <w:rPr>
          <w:lang w:val="es-ES"/>
        </w:rPr>
      </w:pPr>
      <w:r w:rsidRPr="005865FE">
        <w:rPr>
          <w:lang w:val="es-ES"/>
        </w:rPr>
        <w:t xml:space="preserve">A los fines de la cancelación de los valores en custodia en virtud del presente contrato, cada tenedor de valores designa en forma irrevocable al agente de custodia como su </w:t>
      </w:r>
      <w:r w:rsidR="0028707F">
        <w:rPr>
          <w:lang w:val="es-ES"/>
        </w:rPr>
        <w:t>a</w:t>
      </w:r>
      <w:r w:rsidRPr="005865FE">
        <w:rPr>
          <w:lang w:val="es-ES"/>
        </w:rPr>
        <w:t>poderado y le confiere autoridad para designar apoderados suplentes, según sea necesario.</w:t>
      </w:r>
    </w:p>
    <w:p w14:paraId="13A3383E" w14:textId="77777777" w:rsidR="006913AC" w:rsidRPr="005865FE" w:rsidRDefault="004A7E52">
      <w:pPr>
        <w:pStyle w:val="NumA1"/>
        <w:rPr>
          <w:lang w:val="es-ES"/>
        </w:rPr>
      </w:pPr>
      <w:r w:rsidRPr="005865FE">
        <w:rPr>
          <w:lang w:val="es-ES"/>
        </w:rPr>
        <w:t>OPERACIONES CON VALORES EN CUSTODIA</w:t>
      </w:r>
    </w:p>
    <w:p w14:paraId="77B1685B" w14:textId="77777777" w:rsidR="006913AC" w:rsidRPr="005865FE" w:rsidRDefault="00F12B61">
      <w:pPr>
        <w:pStyle w:val="NumA2"/>
        <w:rPr>
          <w:lang w:val="es-ES"/>
        </w:rPr>
      </w:pPr>
      <w:r w:rsidRPr="005865FE">
        <w:rPr>
          <w:lang w:val="es-ES"/>
        </w:rPr>
        <w:t>Restricciones relativas a las transferencias</w:t>
      </w:r>
    </w:p>
    <w:p w14:paraId="6BFD4FFC" w14:textId="00F941B7" w:rsidR="006913AC" w:rsidRPr="005865FE" w:rsidRDefault="0008151F">
      <w:pPr>
        <w:pStyle w:val="NumAext2"/>
        <w:rPr>
          <w:i/>
          <w:lang w:val="es-ES"/>
        </w:rPr>
      </w:pPr>
      <w:r w:rsidRPr="005865FE">
        <w:rPr>
          <w:lang w:val="es-ES"/>
        </w:rPr>
        <w:t xml:space="preserve">Salvo lo expresamente permitido por el presente contrato, usted no podrá vender, transferir, ceder, hipotecar, celebrar </w:t>
      </w:r>
      <w:r w:rsidR="009D194C">
        <w:rPr>
          <w:lang w:val="es-ES"/>
        </w:rPr>
        <w:t>opera</w:t>
      </w:r>
      <w:r w:rsidRPr="005865FE">
        <w:rPr>
          <w:lang w:val="es-ES"/>
        </w:rPr>
        <w:t>ciones con derivados relativos o de otro modo negociar de cualquier forma con sus valores en custodia o cualquier certificado u otro comprobante relacionado con valores en custodia.</w:t>
      </w:r>
      <w:r w:rsidR="004A7E52" w:rsidRPr="005865FE">
        <w:rPr>
          <w:lang w:val="es-ES"/>
        </w:rPr>
        <w:t xml:space="preserve"> </w:t>
      </w:r>
      <w:r w:rsidR="004360D7" w:rsidRPr="005865FE">
        <w:rPr>
          <w:lang w:val="es-ES"/>
        </w:rPr>
        <w:t xml:space="preserve">Si un tenedor de valores es una empresa privada controlada por uno o más apoderados del emisor, el tenedor de valores no podrá participar en una </w:t>
      </w:r>
      <w:r w:rsidR="005C54F9">
        <w:rPr>
          <w:lang w:val="es-ES"/>
        </w:rPr>
        <w:t>opera</w:t>
      </w:r>
      <w:r w:rsidR="004360D7" w:rsidRPr="005865FE">
        <w:rPr>
          <w:lang w:val="es-ES"/>
        </w:rPr>
        <w:t>ción que resulte en un cambio de control de la sociedad o en un cambio en el riesgo económico al cual se exponen los apoderados que son tenedores de valores en custodia.</w:t>
      </w:r>
    </w:p>
    <w:p w14:paraId="6FF26A29" w14:textId="77777777" w:rsidR="006913AC" w:rsidRPr="005865FE" w:rsidRDefault="006A5738">
      <w:pPr>
        <w:pStyle w:val="NumA2"/>
        <w:rPr>
          <w:lang w:val="es-ES"/>
        </w:rPr>
      </w:pPr>
      <w:r w:rsidRPr="005865FE">
        <w:rPr>
          <w:lang w:val="es-ES"/>
        </w:rPr>
        <w:t>Prenda, hipoteca o afectación como garantía de un préstamo</w:t>
      </w:r>
    </w:p>
    <w:p w14:paraId="41DF8B39" w14:textId="77777777" w:rsidR="006913AC" w:rsidRPr="005865FE" w:rsidRDefault="00D31060">
      <w:pPr>
        <w:pStyle w:val="NumAext2"/>
        <w:rPr>
          <w:lang w:val="es-ES"/>
        </w:rPr>
      </w:pPr>
      <w:r w:rsidRPr="005865FE">
        <w:rPr>
          <w:lang w:val="es-ES"/>
        </w:rPr>
        <w:t>Sujeto a la aceptación de la Bolsa, usted puede prendar sus valores en custodia, hipotecarlos o afectarlos como garantía de un préstamo a favor de una institución financiera, siempre que el agente de custodia no transfiera o entregue a la institución financiera los valores en custodia ni cualquier certificado u otro comprobante de los valores en custodia para dicho fin.</w:t>
      </w:r>
      <w:r w:rsidR="004A7E52" w:rsidRPr="005865FE">
        <w:rPr>
          <w:lang w:val="es-ES"/>
        </w:rPr>
        <w:t xml:space="preserve"> </w:t>
      </w:r>
      <w:r w:rsidR="004B12B6" w:rsidRPr="005865FE">
        <w:rPr>
          <w:lang w:val="es-ES"/>
        </w:rPr>
        <w:t>El contrato de préstamo debe estipular que los valores en custodia permanecerán en custodia mismo si el prestamista hace efectiva la prenda sobre los valores en custodia para reembolsar el préstamo.</w:t>
      </w:r>
    </w:p>
    <w:p w14:paraId="37ECEBF0" w14:textId="77777777" w:rsidR="006913AC" w:rsidRPr="005865FE" w:rsidRDefault="004A7E52">
      <w:pPr>
        <w:pStyle w:val="NumA2"/>
        <w:rPr>
          <w:lang w:val="es-ES"/>
        </w:rPr>
      </w:pPr>
      <w:r w:rsidRPr="005865FE">
        <w:rPr>
          <w:lang w:val="es-ES"/>
        </w:rPr>
        <w:t>Ejercicio de los derechos de voto de los valores en custodia</w:t>
      </w:r>
    </w:p>
    <w:p w14:paraId="1724350D" w14:textId="77777777" w:rsidR="006913AC" w:rsidRPr="005865FE" w:rsidRDefault="00BC626B">
      <w:pPr>
        <w:pStyle w:val="NumAext2"/>
        <w:rPr>
          <w:lang w:val="es-ES"/>
        </w:rPr>
      </w:pPr>
      <w:r w:rsidRPr="005865FE">
        <w:rPr>
          <w:lang w:val="es-ES"/>
        </w:rPr>
        <w:t>Aunque usted puede ejercer los derechos de voto inherentes a sus valores en custodia no podrá, mientras sus valores permanezcan en custodia, ejercer los derechos a voto de cualquier valor (en custodia o no) para apoyar uno o más acuerdos que resultarían en el repago de capital sobre los valores en custodia antes de la liquidación del emisor.</w:t>
      </w:r>
    </w:p>
    <w:p w14:paraId="6313E58C" w14:textId="77777777" w:rsidR="006913AC" w:rsidRPr="005865FE" w:rsidRDefault="004A7E52">
      <w:pPr>
        <w:pStyle w:val="NumA2"/>
        <w:rPr>
          <w:lang w:val="es-ES"/>
        </w:rPr>
      </w:pPr>
      <w:r w:rsidRPr="005865FE">
        <w:rPr>
          <w:lang w:val="es-ES"/>
        </w:rPr>
        <w:t>Dividendos sobre los valores en custodia</w:t>
      </w:r>
    </w:p>
    <w:p w14:paraId="0D5A240C" w14:textId="044B9162" w:rsidR="006913AC" w:rsidRPr="005865FE" w:rsidRDefault="0002047F">
      <w:pPr>
        <w:pStyle w:val="NumAext2"/>
        <w:rPr>
          <w:lang w:val="es-ES"/>
        </w:rPr>
      </w:pPr>
      <w:r w:rsidRPr="005865FE">
        <w:rPr>
          <w:lang w:val="es-ES"/>
        </w:rPr>
        <w:t>Usted puede recibir un dividendo u otra distribución sobre sus valores en custodia y elegir la forma de pago de las opciones estándares ofrecidas por el emisor.</w:t>
      </w:r>
      <w:r w:rsidR="004A7E52" w:rsidRPr="005865FE">
        <w:rPr>
          <w:lang w:val="es-ES"/>
        </w:rPr>
        <w:t xml:space="preserve"> </w:t>
      </w:r>
      <w:r w:rsidR="00AA4B47" w:rsidRPr="005865FE">
        <w:rPr>
          <w:lang w:val="es-ES"/>
        </w:rPr>
        <w:t xml:space="preserve">Si el agente de custodia recibe dividendos u otras distribuciones de sus valores en custodia, que no sean valores en custodia adicionales, este se compromete a </w:t>
      </w:r>
      <w:r w:rsidR="0028707F" w:rsidRPr="005865FE">
        <w:rPr>
          <w:lang w:val="es-ES"/>
        </w:rPr>
        <w:t>pagárselos</w:t>
      </w:r>
      <w:r w:rsidR="00AA4B47" w:rsidRPr="005865FE">
        <w:rPr>
          <w:lang w:val="es-ES"/>
        </w:rPr>
        <w:t xml:space="preserve"> en cuanto los reciba.</w:t>
      </w:r>
    </w:p>
    <w:p w14:paraId="5625A152" w14:textId="77777777" w:rsidR="006913AC" w:rsidRPr="005865FE" w:rsidRDefault="004A7E52">
      <w:pPr>
        <w:pStyle w:val="NumA2"/>
        <w:rPr>
          <w:lang w:val="es-ES"/>
        </w:rPr>
      </w:pPr>
      <w:r w:rsidRPr="005865FE">
        <w:rPr>
          <w:lang w:val="es-ES"/>
        </w:rPr>
        <w:t>Ejercicio de otros derechos inherentes a los valores en custodia</w:t>
      </w:r>
    </w:p>
    <w:p w14:paraId="7CAAB322" w14:textId="77777777" w:rsidR="006913AC" w:rsidRPr="005865FE" w:rsidRDefault="008105EA">
      <w:pPr>
        <w:pStyle w:val="NumAext2"/>
        <w:rPr>
          <w:lang w:val="es-ES"/>
        </w:rPr>
      </w:pPr>
      <w:r w:rsidRPr="005865FE">
        <w:rPr>
          <w:lang w:val="es-ES"/>
        </w:rPr>
        <w:t>Usted puede ejercer sus derechos a canjear o convertir sus valores en custodia de conformidad con el presente contrato.</w:t>
      </w:r>
    </w:p>
    <w:p w14:paraId="3BA71238" w14:textId="77777777" w:rsidR="006913AC" w:rsidRPr="005865FE" w:rsidRDefault="004A7E52">
      <w:pPr>
        <w:pStyle w:val="NumA1"/>
        <w:rPr>
          <w:lang w:val="es-ES"/>
        </w:rPr>
      </w:pPr>
      <w:bookmarkStart w:id="3" w:name="_Ref19543465"/>
      <w:r w:rsidRPr="005865FE">
        <w:rPr>
          <w:lang w:val="es-ES"/>
        </w:rPr>
        <w:t>TRANSFERENCIAS PERMITIDAS DE LOS VALORES EN CUSTODIA</w:t>
      </w:r>
      <w:bookmarkEnd w:id="3"/>
    </w:p>
    <w:p w14:paraId="1372B35B" w14:textId="62151E63" w:rsidR="006913AC" w:rsidRPr="005865FE" w:rsidRDefault="0074787C">
      <w:pPr>
        <w:pStyle w:val="NumA2"/>
        <w:rPr>
          <w:lang w:val="es-ES"/>
        </w:rPr>
      </w:pPr>
      <w:r w:rsidRPr="005865FE">
        <w:rPr>
          <w:lang w:val="es-ES"/>
        </w:rPr>
        <w:t>Transferencia en favor de directores y altos fu</w:t>
      </w:r>
      <w:r w:rsidR="0028707F">
        <w:rPr>
          <w:lang w:val="es-ES"/>
        </w:rPr>
        <w:t>n</w:t>
      </w:r>
      <w:r w:rsidRPr="005865FE">
        <w:rPr>
          <w:lang w:val="es-ES"/>
        </w:rPr>
        <w:t>cionarios</w:t>
      </w:r>
    </w:p>
    <w:p w14:paraId="325768B3" w14:textId="7138FF02" w:rsidR="006913AC" w:rsidRPr="005865FE" w:rsidRDefault="00BD4133">
      <w:pPr>
        <w:pStyle w:val="NumA3"/>
        <w:rPr>
          <w:lang w:val="es-ES"/>
        </w:rPr>
      </w:pPr>
      <w:r w:rsidRPr="005865FE">
        <w:rPr>
          <w:lang w:val="es-ES"/>
        </w:rPr>
        <w:t xml:space="preserve">Usted puede transferir los valores en custodia, </w:t>
      </w:r>
      <w:r w:rsidR="007420DC">
        <w:rPr>
          <w:lang w:val="es-ES"/>
        </w:rPr>
        <w:t>excepto las opciones</w:t>
      </w:r>
      <w:r w:rsidRPr="005865FE">
        <w:rPr>
          <w:lang w:val="es-ES"/>
        </w:rPr>
        <w:t>, a los directores o altos funcionares actuales o a aquellos que se estén por nombrar, a los directores entrantes o a altos funcionarios del emisor o a cualesquiera de sus filiales operativas significativas, si el directorio del emisor ha aprobado la transferencia y siempre que:</w:t>
      </w:r>
    </w:p>
    <w:p w14:paraId="5E586F2C" w14:textId="77777777" w:rsidR="006913AC" w:rsidRPr="005865FE" w:rsidRDefault="00B003B9">
      <w:pPr>
        <w:pStyle w:val="NumA4"/>
        <w:rPr>
          <w:lang w:val="es-ES"/>
        </w:rPr>
      </w:pPr>
      <w:r w:rsidRPr="005865FE">
        <w:rPr>
          <w:lang w:val="es-ES"/>
        </w:rPr>
        <w:t>usted presente, de conformidad con la política de la Bolsa aplicable, una solicitud de transferencia por lo menos 10 días hábiles y no más de 30 días hábiles antes de la fecha de la transferencia propuesta;</w:t>
      </w:r>
    </w:p>
    <w:p w14:paraId="01ADC427" w14:textId="77777777" w:rsidR="006913AC" w:rsidRPr="005865FE" w:rsidRDefault="00F33331">
      <w:pPr>
        <w:pStyle w:val="NumA4"/>
        <w:rPr>
          <w:lang w:val="es-ES"/>
        </w:rPr>
      </w:pPr>
      <w:r w:rsidRPr="005865FE">
        <w:rPr>
          <w:lang w:val="es-ES"/>
        </w:rPr>
        <w:t>la Bolsa no envíe un aviso de objeción al agente de custodia antes de las 10:00 hs.</w:t>
      </w:r>
      <w:r w:rsidR="004A7E52" w:rsidRPr="005865FE">
        <w:rPr>
          <w:lang w:val="es-ES"/>
        </w:rPr>
        <w:t xml:space="preserve"> (hora de Vancouver) o 11:00 hs. (hora de Calgary) en dicha fecha específica.</w:t>
      </w:r>
    </w:p>
    <w:p w14:paraId="024AC57E" w14:textId="77777777" w:rsidR="006913AC" w:rsidRPr="005865FE" w:rsidRDefault="00C145E1">
      <w:pPr>
        <w:pStyle w:val="NumA3"/>
        <w:rPr>
          <w:lang w:val="es-ES"/>
        </w:rPr>
      </w:pPr>
      <w:r w:rsidRPr="005865FE">
        <w:rPr>
          <w:lang w:val="es-ES"/>
        </w:rPr>
        <w:t>Antes de que usted pueda proceder a la transferencia, el agente de custodia deberá haber recibido:</w:t>
      </w:r>
    </w:p>
    <w:p w14:paraId="09872488" w14:textId="77777777" w:rsidR="006913AC" w:rsidRPr="005865FE" w:rsidRDefault="008E0119">
      <w:pPr>
        <w:pStyle w:val="NumA4"/>
        <w:rPr>
          <w:lang w:val="es-ES"/>
        </w:rPr>
      </w:pPr>
      <w:r w:rsidRPr="005865FE">
        <w:rPr>
          <w:lang w:val="es-ES"/>
        </w:rPr>
        <w:t>una copia certificada de la resolución del directorio del emisor aprobando la transferencia;</w:t>
      </w:r>
    </w:p>
    <w:p w14:paraId="209130E6" w14:textId="77777777" w:rsidR="006913AC" w:rsidRPr="005865FE" w:rsidRDefault="0000728B">
      <w:pPr>
        <w:pStyle w:val="NumA4"/>
        <w:rPr>
          <w:lang w:val="es-ES"/>
        </w:rPr>
      </w:pPr>
      <w:r w:rsidRPr="005865FE">
        <w:rPr>
          <w:lang w:val="es-ES"/>
        </w:rPr>
        <w:t>una constancia firmada por un director o un funcionario del emisor autorizado a firmar, indicando que la transferencia se hace a favor de un director o alto funcionario del emisor o de una de sus filiales operativas significativas y que se ha recibido toda aceptación requerida por parte de la Bolsa a la cotización en la cual el emisor está inscrito;</w:t>
      </w:r>
    </w:p>
    <w:p w14:paraId="7D0D9BF2" w14:textId="77777777" w:rsidR="006913AC" w:rsidRPr="005865FE" w:rsidRDefault="00457A30">
      <w:pPr>
        <w:pStyle w:val="NumA4"/>
        <w:rPr>
          <w:lang w:val="es-ES"/>
        </w:rPr>
      </w:pPr>
      <w:r w:rsidRPr="005865FE">
        <w:rPr>
          <w:lang w:val="es-ES"/>
        </w:rPr>
        <w:t>un reconocimiento firmado por el cesionario que siga el modelo del Formulario 5E;</w:t>
      </w:r>
    </w:p>
    <w:p w14:paraId="0E2489FA" w14:textId="46FC25EB" w:rsidR="006913AC" w:rsidRPr="005865FE" w:rsidRDefault="00DE49F0">
      <w:pPr>
        <w:pStyle w:val="NumA4"/>
        <w:rPr>
          <w:lang w:val="es-ES"/>
        </w:rPr>
      </w:pPr>
      <w:r w:rsidRPr="005865FE">
        <w:rPr>
          <w:lang w:val="es-ES"/>
        </w:rPr>
        <w:t>un poder en vista de la transferencia, completado y firmado por el cesionario de conformidad con los requisitos del agente de transferencia del emisor.</w:t>
      </w:r>
    </w:p>
    <w:p w14:paraId="2ACE076D" w14:textId="77777777" w:rsidR="006913AC" w:rsidRPr="005865FE" w:rsidRDefault="001944EA">
      <w:pPr>
        <w:pStyle w:val="NumA3"/>
        <w:rPr>
          <w:lang w:val="es-ES"/>
        </w:rPr>
      </w:pPr>
      <w:r w:rsidRPr="005865FE">
        <w:rPr>
          <w:lang w:val="es-ES"/>
        </w:rPr>
        <w:t>Una transferencia de valores en custodia constituye una operación comercial a los efectos de la legislación de valores y puede requerir una exención u orden discrecional.</w:t>
      </w:r>
    </w:p>
    <w:p w14:paraId="3CFF9EA4" w14:textId="1F80138F" w:rsidR="006913AC" w:rsidRPr="005865FE" w:rsidRDefault="00DD6DF3">
      <w:pPr>
        <w:pStyle w:val="NumA2"/>
        <w:rPr>
          <w:lang w:val="es-ES"/>
        </w:rPr>
      </w:pPr>
      <w:r w:rsidRPr="005865FE">
        <w:rPr>
          <w:lang w:val="es-ES"/>
        </w:rPr>
        <w:t>Transferencia a favor de otros apoderados</w:t>
      </w:r>
    </w:p>
    <w:p w14:paraId="3575BC57" w14:textId="07A62F1D" w:rsidR="006913AC" w:rsidRPr="005865FE" w:rsidRDefault="00185E2C">
      <w:pPr>
        <w:pStyle w:val="NumA3"/>
        <w:rPr>
          <w:lang w:val="es-ES"/>
        </w:rPr>
      </w:pPr>
      <w:r w:rsidRPr="005865FE">
        <w:rPr>
          <w:lang w:val="es-ES"/>
        </w:rPr>
        <w:t xml:space="preserve">Usted puede transferir los valores en custodia, </w:t>
      </w:r>
      <w:r w:rsidR="007420DC" w:rsidRPr="007420DC">
        <w:rPr>
          <w:lang w:val="es-ES"/>
        </w:rPr>
        <w:t>excepto las opciones</w:t>
      </w:r>
      <w:r w:rsidRPr="005865FE">
        <w:rPr>
          <w:lang w:val="es-ES"/>
        </w:rPr>
        <w:t>:</w:t>
      </w:r>
    </w:p>
    <w:p w14:paraId="00C72961" w14:textId="59858051" w:rsidR="006913AC" w:rsidRPr="005865FE" w:rsidRDefault="00F43BA1">
      <w:pPr>
        <w:pStyle w:val="NumA4"/>
        <w:rPr>
          <w:lang w:val="es-ES"/>
        </w:rPr>
      </w:pPr>
      <w:r>
        <w:rPr>
          <w:lang w:val="es-ES"/>
        </w:rPr>
        <w:t xml:space="preserve">ya sea </w:t>
      </w:r>
      <w:r w:rsidR="00E67693" w:rsidRPr="005865FE">
        <w:rPr>
          <w:lang w:val="es-ES"/>
        </w:rPr>
        <w:t>a una persona física o moral que, antes de la transferencia propuesta, posea más del 20% de los derechos a voto inherentes a los valores en circulación del emisor;</w:t>
      </w:r>
    </w:p>
    <w:p w14:paraId="738B248F" w14:textId="04661038" w:rsidR="006913AC" w:rsidRPr="005865FE" w:rsidRDefault="00F43BA1">
      <w:pPr>
        <w:pStyle w:val="NumA4"/>
        <w:rPr>
          <w:lang w:val="es-ES"/>
        </w:rPr>
      </w:pPr>
      <w:r>
        <w:rPr>
          <w:lang w:val="es-ES"/>
        </w:rPr>
        <w:t xml:space="preserve">ya sea </w:t>
      </w:r>
      <w:r w:rsidR="00D93B61" w:rsidRPr="005865FE">
        <w:rPr>
          <w:lang w:val="es-ES"/>
        </w:rPr>
        <w:t>a una persona física o moral que con posterioridad a la transferencia propuesta</w:t>
      </w:r>
      <w:r>
        <w:rPr>
          <w:lang w:val="es-ES"/>
        </w:rPr>
        <w:t>;</w:t>
      </w:r>
    </w:p>
    <w:p w14:paraId="3C06763D" w14:textId="77777777" w:rsidR="006913AC" w:rsidRPr="005865FE" w:rsidRDefault="00C30480">
      <w:pPr>
        <w:pStyle w:val="NumA5"/>
        <w:rPr>
          <w:lang w:val="es-ES"/>
        </w:rPr>
      </w:pPr>
      <w:r w:rsidRPr="005865FE">
        <w:rPr>
          <w:lang w:val="es-ES"/>
        </w:rPr>
        <w:t>posea más del 10% de los derechos a voto inherentes a los valores en circulación del emisor,</w:t>
      </w:r>
    </w:p>
    <w:p w14:paraId="5EF2E3F1" w14:textId="77777777" w:rsidR="006913AC" w:rsidRPr="005865FE" w:rsidRDefault="006913AC">
      <w:pPr>
        <w:ind w:left="2160"/>
        <w:rPr>
          <w:szCs w:val="24"/>
          <w:lang w:val="es-ES"/>
        </w:rPr>
      </w:pPr>
    </w:p>
    <w:p w14:paraId="271F6FF7" w14:textId="77777777" w:rsidR="006913AC" w:rsidRPr="005865FE" w:rsidRDefault="00673CBD">
      <w:pPr>
        <w:pStyle w:val="NumA5"/>
        <w:rPr>
          <w:lang w:val="es-ES"/>
        </w:rPr>
      </w:pPr>
      <w:r w:rsidRPr="005865FE">
        <w:rPr>
          <w:lang w:val="es-ES"/>
        </w:rPr>
        <w:t>tenga el derecho de elegir o designar a uno o más directores o altos funcionarios del emisor o de cualesquiera de sus filiales operativas significativas;</w:t>
      </w:r>
    </w:p>
    <w:p w14:paraId="7C172148" w14:textId="77777777" w:rsidR="006913AC" w:rsidRPr="005865FE" w:rsidRDefault="005879DA">
      <w:pPr>
        <w:pStyle w:val="BodyText"/>
        <w:rPr>
          <w:lang w:val="es-ES"/>
        </w:rPr>
      </w:pPr>
      <w:r w:rsidRPr="005865FE">
        <w:rPr>
          <w:lang w:val="es-ES"/>
        </w:rPr>
        <w:t>siempre que:</w:t>
      </w:r>
    </w:p>
    <w:p w14:paraId="1E64BD19" w14:textId="413F4F2F" w:rsidR="006913AC" w:rsidRDefault="00B003B9">
      <w:pPr>
        <w:pStyle w:val="NumA4"/>
        <w:numPr>
          <w:ilvl w:val="3"/>
          <w:numId w:val="4"/>
        </w:numPr>
        <w:rPr>
          <w:lang w:val="es-ES"/>
        </w:rPr>
      </w:pPr>
      <w:r w:rsidRPr="005865FE">
        <w:rPr>
          <w:lang w:val="es-ES"/>
        </w:rPr>
        <w:t>usted presente, de conformidad con la política de la Bolsa aplicable, una solicitud de transferencia por lo menos 10 días hábiles y no más de 30 días hábiles antes de la fecha de la transferencia propuesta;</w:t>
      </w:r>
    </w:p>
    <w:p w14:paraId="19B717F7" w14:textId="7738BF2D" w:rsidR="006913AC" w:rsidRPr="00E81881" w:rsidRDefault="00E81881" w:rsidP="00E81881">
      <w:pPr>
        <w:pStyle w:val="NumA4"/>
        <w:numPr>
          <w:ilvl w:val="3"/>
          <w:numId w:val="4"/>
        </w:numPr>
        <w:rPr>
          <w:lang w:val="es-ES"/>
        </w:rPr>
      </w:pPr>
      <w:r w:rsidRPr="005865FE">
        <w:rPr>
          <w:lang w:val="es-ES"/>
        </w:rPr>
        <w:t>la Bolsa no envíe un aviso de objeción al agente de custodia antes de las 10:00 hs. (hora de Vancouver) o 11:00 hs. (hora de Calgary) en dicha fecha específica</w:t>
      </w:r>
      <w:r>
        <w:rPr>
          <w:lang w:val="es-ES"/>
        </w:rPr>
        <w:t>.</w:t>
      </w:r>
      <w:bookmarkStart w:id="4" w:name="_GoBack"/>
      <w:bookmarkEnd w:id="4"/>
    </w:p>
    <w:p w14:paraId="201F14D5" w14:textId="77777777" w:rsidR="006913AC" w:rsidRPr="005865FE" w:rsidRDefault="00C145E1">
      <w:pPr>
        <w:pStyle w:val="NumA3"/>
        <w:rPr>
          <w:lang w:val="es-ES"/>
        </w:rPr>
      </w:pPr>
      <w:r w:rsidRPr="005865FE">
        <w:rPr>
          <w:lang w:val="es-ES"/>
        </w:rPr>
        <w:t>Antes de que usted pueda proceder a la transferencia, el agente de custodia deberá haber recibido:</w:t>
      </w:r>
    </w:p>
    <w:p w14:paraId="636EE866" w14:textId="77777777" w:rsidR="006913AC" w:rsidRPr="005865FE" w:rsidRDefault="00A60583">
      <w:pPr>
        <w:pStyle w:val="NumA4"/>
        <w:rPr>
          <w:lang w:val="es-ES"/>
        </w:rPr>
      </w:pPr>
      <w:r w:rsidRPr="005865FE">
        <w:rPr>
          <w:lang w:val="es-ES"/>
        </w:rPr>
        <w:t>un certificado firmado por un director o un funcionario del emisor autorizado a firmar, declarando que:</w:t>
      </w:r>
    </w:p>
    <w:p w14:paraId="30D673A9" w14:textId="3F82F1E1" w:rsidR="006913AC" w:rsidRPr="005865FE" w:rsidRDefault="00036813">
      <w:pPr>
        <w:pStyle w:val="NumA5"/>
        <w:rPr>
          <w:lang w:val="es-ES"/>
        </w:rPr>
      </w:pPr>
      <w:r w:rsidRPr="005865FE">
        <w:rPr>
          <w:lang w:val="es-ES"/>
        </w:rPr>
        <w:t>o bien la transferencia se realiza a favor de una persona física o moral que, en su opinión, después de una investigación razonable, posee más del 20% de los derechos a voto inherentes a los valores en circulación del emisor antes de la transferencia propuesta;</w:t>
      </w:r>
    </w:p>
    <w:p w14:paraId="2E1FF5BC" w14:textId="5C7E7107" w:rsidR="006913AC" w:rsidRPr="005865FE" w:rsidRDefault="00A10906">
      <w:pPr>
        <w:pStyle w:val="NumA5"/>
        <w:rPr>
          <w:lang w:val="es-ES"/>
        </w:rPr>
      </w:pPr>
      <w:r w:rsidRPr="005865FE">
        <w:rPr>
          <w:lang w:val="es-ES"/>
        </w:rPr>
        <w:t>o bien la transferencia se realiza a favor de una persona física o moral que:</w:t>
      </w:r>
    </w:p>
    <w:p w14:paraId="1B22F0E3" w14:textId="2A2A46A7" w:rsidR="006913AC" w:rsidRPr="005865FE" w:rsidRDefault="00802AD2">
      <w:pPr>
        <w:pStyle w:val="NumA6"/>
        <w:rPr>
          <w:lang w:val="es-ES"/>
        </w:rPr>
      </w:pPr>
      <w:r w:rsidRPr="005865FE">
        <w:rPr>
          <w:lang w:val="es-ES"/>
        </w:rPr>
        <w:t>en su opinión, después de una investigación razonable, posee más del 10% de los derechos a voto inherentes a los valores en circulación del emisor;</w:t>
      </w:r>
    </w:p>
    <w:p w14:paraId="267FE1CC" w14:textId="77777777" w:rsidR="007A2E50" w:rsidRPr="005865FE" w:rsidRDefault="00814A17" w:rsidP="004420DE">
      <w:pPr>
        <w:pStyle w:val="NumA6"/>
        <w:rPr>
          <w:lang w:val="es-ES"/>
        </w:rPr>
      </w:pPr>
      <w:r w:rsidRPr="005865FE">
        <w:rPr>
          <w:lang w:val="es-ES"/>
        </w:rPr>
        <w:t>que tenga el derecho a elegir o designar uno o más directores o altos funcionarios del emisor o de cualquiera de sus filiales operativas,</w:t>
      </w:r>
    </w:p>
    <w:p w14:paraId="130624D5" w14:textId="77777777" w:rsidR="006913AC" w:rsidRPr="005865FE" w:rsidRDefault="00FA3F98" w:rsidP="007A2E50">
      <w:pPr>
        <w:pStyle w:val="NumA6"/>
        <w:numPr>
          <w:ilvl w:val="0"/>
          <w:numId w:val="0"/>
        </w:numPr>
        <w:ind w:left="2160"/>
        <w:rPr>
          <w:lang w:val="es-ES"/>
        </w:rPr>
      </w:pPr>
      <w:r w:rsidRPr="005865FE">
        <w:rPr>
          <w:lang w:val="es-ES"/>
        </w:rPr>
        <w:t>luego de la transferencia propuesta;</w:t>
      </w:r>
    </w:p>
    <w:p w14:paraId="6DBFAB0F" w14:textId="77777777" w:rsidR="006913AC" w:rsidRPr="005865FE" w:rsidRDefault="004A7E52">
      <w:pPr>
        <w:pStyle w:val="NumA5"/>
        <w:rPr>
          <w:lang w:val="es-ES"/>
        </w:rPr>
      </w:pPr>
      <w:r w:rsidRPr="005865FE">
        <w:rPr>
          <w:lang w:val="es-ES"/>
        </w:rPr>
        <w:t>cualquier aprobación requerida por parte de la Bolsa haya sido recibida;</w:t>
      </w:r>
    </w:p>
    <w:p w14:paraId="6D125AAE" w14:textId="77777777" w:rsidR="006913AC" w:rsidRPr="005865FE" w:rsidRDefault="00457A30">
      <w:pPr>
        <w:pStyle w:val="NumA4"/>
        <w:rPr>
          <w:lang w:val="es-ES"/>
        </w:rPr>
      </w:pPr>
      <w:r w:rsidRPr="005865FE">
        <w:rPr>
          <w:lang w:val="es-ES"/>
        </w:rPr>
        <w:t>un reconocimiento firmado por el cesionario que siga el modelo del Formulario 5E;</w:t>
      </w:r>
    </w:p>
    <w:p w14:paraId="742DA557" w14:textId="760D88D0" w:rsidR="006913AC" w:rsidRPr="005865FE" w:rsidRDefault="00DE49F0">
      <w:pPr>
        <w:pStyle w:val="NumA4"/>
        <w:rPr>
          <w:lang w:val="es-ES"/>
        </w:rPr>
      </w:pPr>
      <w:r w:rsidRPr="005865FE">
        <w:rPr>
          <w:lang w:val="es-ES"/>
        </w:rPr>
        <w:t>un poder en vista de la transferencia, completado y firmado por el cesionario de conformidad con los requisitos del agente de transferencia del emisor.</w:t>
      </w:r>
    </w:p>
    <w:p w14:paraId="162CFC9C" w14:textId="77777777" w:rsidR="006913AC" w:rsidRPr="005865FE" w:rsidRDefault="004A7E52">
      <w:pPr>
        <w:pStyle w:val="NumA2"/>
        <w:rPr>
          <w:lang w:val="es-ES"/>
        </w:rPr>
      </w:pPr>
      <w:r w:rsidRPr="005865FE">
        <w:rPr>
          <w:lang w:val="es-ES"/>
        </w:rPr>
        <w:t>Transferencia en caso de quiebra</w:t>
      </w:r>
    </w:p>
    <w:p w14:paraId="56E3A5D7" w14:textId="3BB8C1D0" w:rsidR="006913AC" w:rsidRPr="005865FE" w:rsidRDefault="00132AE0">
      <w:pPr>
        <w:pStyle w:val="NumA3"/>
        <w:rPr>
          <w:lang w:val="es-ES"/>
        </w:rPr>
      </w:pPr>
      <w:r w:rsidRPr="005865FE">
        <w:rPr>
          <w:lang w:val="es-ES"/>
        </w:rPr>
        <w:t xml:space="preserve">Usted puede transferir valores en custodia, </w:t>
      </w:r>
      <w:r w:rsidR="007420DC" w:rsidRPr="007420DC">
        <w:rPr>
          <w:lang w:val="es-ES"/>
        </w:rPr>
        <w:t>excepto las opciones</w:t>
      </w:r>
      <w:r w:rsidRPr="005865FE">
        <w:rPr>
          <w:lang w:val="es-ES"/>
        </w:rPr>
        <w:t>, a un síndico de quiebra o a otra persona física o moral con derecho a los valores en custodia en virtud de la quiebra siempre que:</w:t>
      </w:r>
    </w:p>
    <w:p w14:paraId="765E19A5" w14:textId="77777777" w:rsidR="006913AC" w:rsidRPr="005865FE" w:rsidRDefault="00B003B9">
      <w:pPr>
        <w:pStyle w:val="NumA4"/>
        <w:rPr>
          <w:lang w:val="es-ES"/>
        </w:rPr>
      </w:pPr>
      <w:r w:rsidRPr="005865FE">
        <w:rPr>
          <w:lang w:val="es-ES"/>
        </w:rPr>
        <w:t>usted presente, de conformidad con la política de la Bolsa aplicable, una solicitud de transferencia por lo menos 10 días hábiles y no más de 30 días hábiles antes de la fecha de la transferencia propuesta;</w:t>
      </w:r>
    </w:p>
    <w:p w14:paraId="130AC867" w14:textId="77777777" w:rsidR="006913AC" w:rsidRPr="005865FE" w:rsidRDefault="00F33331">
      <w:pPr>
        <w:pStyle w:val="NumA4"/>
        <w:rPr>
          <w:lang w:val="es-ES"/>
        </w:rPr>
      </w:pPr>
      <w:r w:rsidRPr="005865FE">
        <w:rPr>
          <w:lang w:val="es-ES"/>
        </w:rPr>
        <w:t>la Bolsa no envíe un aviso de objeción al agente de custodia antes de las 10:00 hs.</w:t>
      </w:r>
      <w:r w:rsidR="004A7E52" w:rsidRPr="005865FE">
        <w:rPr>
          <w:lang w:val="es-ES"/>
        </w:rPr>
        <w:t xml:space="preserve"> (hora de Vancouver) o 11:00 hs. (hora de Calgary) en dicha fecha específica.</w:t>
      </w:r>
    </w:p>
    <w:p w14:paraId="1FB6DBD4" w14:textId="77777777" w:rsidR="006913AC" w:rsidRPr="005865FE" w:rsidRDefault="00D21990">
      <w:pPr>
        <w:pStyle w:val="NumA3"/>
        <w:rPr>
          <w:lang w:val="es-ES"/>
        </w:rPr>
      </w:pPr>
      <w:r w:rsidRPr="005865FE">
        <w:rPr>
          <w:lang w:val="es-ES"/>
        </w:rPr>
        <w:t>Antes de que usted pueda proceder a la transferencia, el agente de custodia deberá haber recibido:</w:t>
      </w:r>
    </w:p>
    <w:p w14:paraId="451C27A3" w14:textId="192105B0" w:rsidR="006913AC" w:rsidRPr="005865FE" w:rsidRDefault="004A7E52">
      <w:pPr>
        <w:pStyle w:val="NumA4"/>
        <w:rPr>
          <w:lang w:val="es-ES"/>
        </w:rPr>
      </w:pPr>
      <w:r w:rsidRPr="005865FE">
        <w:rPr>
          <w:lang w:val="es-ES"/>
        </w:rPr>
        <w:t>una copia certificada de</w:t>
      </w:r>
      <w:r w:rsidR="007A4AF3">
        <w:rPr>
          <w:lang w:val="es-ES"/>
        </w:rPr>
        <w:t>:</w:t>
      </w:r>
    </w:p>
    <w:p w14:paraId="642966F6" w14:textId="77777777" w:rsidR="006913AC" w:rsidRPr="005865FE" w:rsidRDefault="00AC0C06">
      <w:pPr>
        <w:pStyle w:val="NumA5"/>
        <w:rPr>
          <w:lang w:val="es-ES"/>
        </w:rPr>
      </w:pPr>
      <w:r w:rsidRPr="005865FE">
        <w:rPr>
          <w:lang w:val="es-ES"/>
        </w:rPr>
        <w:t>la cesión de la quiebra presentada ante el superintendente de quiebras,</w:t>
      </w:r>
    </w:p>
    <w:p w14:paraId="235FE7E6" w14:textId="77777777" w:rsidR="006913AC" w:rsidRPr="005865FE" w:rsidRDefault="004A7E52">
      <w:pPr>
        <w:pStyle w:val="NumA5"/>
        <w:rPr>
          <w:lang w:val="es-ES"/>
        </w:rPr>
      </w:pPr>
      <w:r w:rsidRPr="005865FE">
        <w:rPr>
          <w:lang w:val="es-ES"/>
        </w:rPr>
        <w:t>la orden judicial que adjudica la quiebra del tenedor de valores;</w:t>
      </w:r>
    </w:p>
    <w:p w14:paraId="3150380D" w14:textId="0FDF8679" w:rsidR="006913AC" w:rsidRPr="005865FE" w:rsidRDefault="005C09CB">
      <w:pPr>
        <w:pStyle w:val="NumA4"/>
        <w:rPr>
          <w:lang w:val="es-ES"/>
        </w:rPr>
      </w:pPr>
      <w:r w:rsidRPr="005865FE">
        <w:rPr>
          <w:lang w:val="es-ES"/>
        </w:rPr>
        <w:t>una copia certificada de</w:t>
      </w:r>
      <w:r w:rsidR="007420DC">
        <w:rPr>
          <w:lang w:val="es-ES"/>
        </w:rPr>
        <w:t xml:space="preserve">l certificado acreditativo de </w:t>
      </w:r>
      <w:r w:rsidRPr="005865FE">
        <w:rPr>
          <w:lang w:val="es-ES"/>
        </w:rPr>
        <w:t>designación del síndico de la quiebra;</w:t>
      </w:r>
    </w:p>
    <w:p w14:paraId="6D8307DD" w14:textId="633D2226" w:rsidR="006913AC" w:rsidRPr="005865FE" w:rsidRDefault="00954337">
      <w:pPr>
        <w:pStyle w:val="NumA4"/>
        <w:rPr>
          <w:lang w:val="es-ES"/>
        </w:rPr>
      </w:pPr>
      <w:r w:rsidRPr="005865FE">
        <w:rPr>
          <w:lang w:val="es-ES"/>
        </w:rPr>
        <w:t>un poder de transferencia, debidamente completado y celebrado por el cesionario de conformidad con los requisitos del agente de transferencia del emisor</w:t>
      </w:r>
      <w:r w:rsidR="007A4AF3">
        <w:rPr>
          <w:lang w:val="es-ES"/>
        </w:rPr>
        <w:t>;</w:t>
      </w:r>
    </w:p>
    <w:p w14:paraId="56D18B84" w14:textId="77777777" w:rsidR="006913AC" w:rsidRPr="005865FE" w:rsidRDefault="00820BD3">
      <w:pPr>
        <w:pStyle w:val="NumA4"/>
        <w:rPr>
          <w:lang w:val="es-ES"/>
        </w:rPr>
      </w:pPr>
      <w:r w:rsidRPr="005865FE">
        <w:rPr>
          <w:lang w:val="es-ES"/>
        </w:rPr>
        <w:t>un reconocimiento que siga el modelo del Formulario 5E firmado:</w:t>
      </w:r>
    </w:p>
    <w:p w14:paraId="3FE225E3" w14:textId="4EC51DF2" w:rsidR="006913AC" w:rsidRPr="005865FE" w:rsidRDefault="00E87C01">
      <w:pPr>
        <w:pStyle w:val="NumA5"/>
        <w:rPr>
          <w:lang w:val="es-ES"/>
        </w:rPr>
      </w:pPr>
      <w:r w:rsidRPr="005865FE">
        <w:rPr>
          <w:lang w:val="es-ES"/>
        </w:rPr>
        <w:t xml:space="preserve">ya sea por </w:t>
      </w:r>
      <w:r w:rsidR="00485FA5">
        <w:rPr>
          <w:lang w:val="es-ES"/>
        </w:rPr>
        <w:t xml:space="preserve">el </w:t>
      </w:r>
      <w:r w:rsidRPr="005865FE">
        <w:rPr>
          <w:lang w:val="es-ES"/>
        </w:rPr>
        <w:t>síndico de la quiebra;</w:t>
      </w:r>
    </w:p>
    <w:p w14:paraId="61D4549F" w14:textId="5B9202B8" w:rsidR="006913AC" w:rsidRPr="005865FE" w:rsidRDefault="004D6D5C">
      <w:pPr>
        <w:pStyle w:val="NumA5"/>
        <w:rPr>
          <w:lang w:val="es-ES"/>
        </w:rPr>
      </w:pPr>
      <w:r w:rsidRPr="005865FE">
        <w:rPr>
          <w:lang w:val="es-ES"/>
        </w:rPr>
        <w:t>ya sea, conforme a las instrucciones del síndico, por toda otra persona física o moral que tenga derecho legal a los valores en custodia, en cuyo caso el formulario de reconocimiento debe ir acompañado de una prueba de las instrucciones.</w:t>
      </w:r>
    </w:p>
    <w:p w14:paraId="29BF4BD4" w14:textId="77777777" w:rsidR="006913AC" w:rsidRPr="005865FE" w:rsidRDefault="004A7E52">
      <w:pPr>
        <w:pStyle w:val="NumA2"/>
        <w:rPr>
          <w:lang w:val="es-ES"/>
        </w:rPr>
      </w:pPr>
      <w:r w:rsidRPr="005865FE">
        <w:rPr>
          <w:lang w:val="es-ES"/>
        </w:rPr>
        <w:t>Transferencia en caso de concreción de prenda, hipoteca o afectación de los valores en custodia</w:t>
      </w:r>
    </w:p>
    <w:p w14:paraId="2ACCC55B" w14:textId="4CA997FC" w:rsidR="006913AC" w:rsidRPr="005865FE" w:rsidRDefault="00E56556">
      <w:pPr>
        <w:pStyle w:val="NumA3"/>
        <w:rPr>
          <w:lang w:val="es-ES"/>
        </w:rPr>
      </w:pPr>
      <w:r w:rsidRPr="005865FE">
        <w:rPr>
          <w:lang w:val="es-ES"/>
        </w:rPr>
        <w:t xml:space="preserve">Usted puede transferir valores en custodia, </w:t>
      </w:r>
      <w:r w:rsidR="007420DC" w:rsidRPr="007420DC">
        <w:rPr>
          <w:lang w:val="es-ES"/>
        </w:rPr>
        <w:t>excepto las opciones</w:t>
      </w:r>
      <w:r w:rsidRPr="005865FE">
        <w:rPr>
          <w:lang w:val="es-ES"/>
        </w:rPr>
        <w:t>, a una institución financiera siempre que:</w:t>
      </w:r>
    </w:p>
    <w:p w14:paraId="0CBBF686" w14:textId="77777777" w:rsidR="006913AC" w:rsidRPr="005865FE" w:rsidRDefault="00B003B9">
      <w:pPr>
        <w:pStyle w:val="NumA4"/>
        <w:rPr>
          <w:lang w:val="es-ES"/>
        </w:rPr>
      </w:pPr>
      <w:r w:rsidRPr="005865FE">
        <w:rPr>
          <w:lang w:val="es-ES"/>
        </w:rPr>
        <w:t>usted presente, de conformidad con la política de la Bolsa aplicable, una solicitud de transferencia por lo menos 10 días hábiles y no más de 30 días hábiles antes de la fecha de la transferencia propuesta;</w:t>
      </w:r>
    </w:p>
    <w:p w14:paraId="21ED2A94" w14:textId="77777777" w:rsidR="006913AC" w:rsidRPr="005865FE" w:rsidRDefault="00F33331">
      <w:pPr>
        <w:pStyle w:val="NumA4"/>
        <w:rPr>
          <w:lang w:val="es-ES"/>
        </w:rPr>
      </w:pPr>
      <w:r w:rsidRPr="005865FE">
        <w:rPr>
          <w:lang w:val="es-ES"/>
        </w:rPr>
        <w:t>la Bolsa no envíe un aviso de objeción al agente de custodia antes de las 10:00 hs.</w:t>
      </w:r>
      <w:r w:rsidR="004A7E52" w:rsidRPr="005865FE">
        <w:rPr>
          <w:lang w:val="es-ES"/>
        </w:rPr>
        <w:t xml:space="preserve"> (hora de Vancouver) o 11:00 hs. (hora de Calgary) en dicha fecha específica.</w:t>
      </w:r>
    </w:p>
    <w:p w14:paraId="22873693" w14:textId="77777777" w:rsidR="006913AC" w:rsidRPr="005865FE" w:rsidRDefault="00C145E1">
      <w:pPr>
        <w:pStyle w:val="NumA3"/>
        <w:rPr>
          <w:lang w:val="es-ES"/>
        </w:rPr>
      </w:pPr>
      <w:r w:rsidRPr="005865FE">
        <w:rPr>
          <w:lang w:val="es-ES"/>
        </w:rPr>
        <w:t>Antes de que usted pueda proceder a la transferencia, el agente de custodia deberá haber recibido:</w:t>
      </w:r>
    </w:p>
    <w:p w14:paraId="384571D4" w14:textId="77777777" w:rsidR="006913AC" w:rsidRPr="005865FE" w:rsidRDefault="00553C6D">
      <w:pPr>
        <w:pStyle w:val="NumA4"/>
        <w:rPr>
          <w:lang w:val="es-ES"/>
        </w:rPr>
      </w:pPr>
      <w:r w:rsidRPr="005865FE">
        <w:rPr>
          <w:lang w:val="es-ES"/>
        </w:rPr>
        <w:t>una declaración jurada de un funcionario de la institución financiera indicando que la institución financiera tiene derecho legal a los valores en custodia;</w:t>
      </w:r>
    </w:p>
    <w:p w14:paraId="5B2CB658" w14:textId="77777777" w:rsidR="006913AC" w:rsidRPr="005865FE" w:rsidRDefault="004A7E52">
      <w:pPr>
        <w:pStyle w:val="NumA4"/>
        <w:rPr>
          <w:lang w:val="es-ES"/>
        </w:rPr>
      </w:pPr>
      <w:r w:rsidRPr="005865FE">
        <w:rPr>
          <w:lang w:val="es-ES"/>
        </w:rPr>
        <w:t>comprobante de que la Bolsa ha aceptado la prenda, hipoteca o afectación de los valores en custodia a la institución financiera;</w:t>
      </w:r>
    </w:p>
    <w:p w14:paraId="5D5C3020" w14:textId="77777777" w:rsidR="006913AC" w:rsidRPr="005865FE" w:rsidRDefault="005C6038" w:rsidP="0002517D">
      <w:pPr>
        <w:pStyle w:val="NumA4"/>
        <w:rPr>
          <w:lang w:val="es-ES"/>
        </w:rPr>
      </w:pPr>
      <w:r w:rsidRPr="005865FE">
        <w:rPr>
          <w:lang w:val="es-ES"/>
        </w:rPr>
        <w:t>un poder de transferencia celebrado por el cesionario de conformidad con los requisitos del agente de transferencia del emisor;</w:t>
      </w:r>
    </w:p>
    <w:p w14:paraId="34AF1384" w14:textId="34D5005A" w:rsidR="006913AC" w:rsidRPr="005865FE" w:rsidRDefault="00A7187B">
      <w:pPr>
        <w:pStyle w:val="NumA4"/>
        <w:rPr>
          <w:lang w:val="es-ES"/>
        </w:rPr>
      </w:pPr>
      <w:r w:rsidRPr="005865FE">
        <w:rPr>
          <w:lang w:val="es-ES"/>
        </w:rPr>
        <w:t>un reconocimiento firmado por la institución financiera que siga el modelo del Formulario 5E</w:t>
      </w:r>
      <w:r w:rsidR="00172D0E">
        <w:rPr>
          <w:lang w:val="es-ES"/>
        </w:rPr>
        <w:t>.</w:t>
      </w:r>
      <w:r w:rsidRPr="005865FE">
        <w:rPr>
          <w:lang w:val="es-ES"/>
        </w:rPr>
        <w:t xml:space="preserve"> </w:t>
      </w:r>
    </w:p>
    <w:p w14:paraId="3B8C8B44" w14:textId="77777777" w:rsidR="006913AC" w:rsidRPr="005865FE" w:rsidRDefault="004A7E52">
      <w:pPr>
        <w:pStyle w:val="NumA2"/>
        <w:rPr>
          <w:lang w:val="es-ES"/>
        </w:rPr>
      </w:pPr>
      <w:r w:rsidRPr="005865FE">
        <w:rPr>
          <w:lang w:val="es-ES"/>
        </w:rPr>
        <w:t>Transferencia a favor de ciertos planes y fondos</w:t>
      </w:r>
    </w:p>
    <w:p w14:paraId="19C78127" w14:textId="10CAE47B" w:rsidR="006913AC" w:rsidRPr="005865FE" w:rsidRDefault="00E134E6">
      <w:pPr>
        <w:pStyle w:val="NumA3"/>
        <w:rPr>
          <w:lang w:val="es-ES"/>
        </w:rPr>
      </w:pPr>
      <w:r w:rsidRPr="005865FE">
        <w:rPr>
          <w:lang w:val="es-ES"/>
        </w:rPr>
        <w:t xml:space="preserve">Usted puede transferir los valores en custodia, </w:t>
      </w:r>
      <w:r w:rsidR="007420DC" w:rsidRPr="007420DC">
        <w:rPr>
          <w:lang w:val="es-ES"/>
        </w:rPr>
        <w:t>excepto las opciones</w:t>
      </w:r>
      <w:r w:rsidRPr="005865FE">
        <w:rPr>
          <w:lang w:val="es-ES"/>
        </w:rPr>
        <w:t xml:space="preserve">, a un plan de ahorro de jubilación </w:t>
      </w:r>
      <w:r w:rsidR="009E6485" w:rsidRPr="005865FE">
        <w:rPr>
          <w:lang w:val="es-ES"/>
        </w:rPr>
        <w:t>registrado (</w:t>
      </w:r>
      <w:r w:rsidRPr="005865FE">
        <w:rPr>
          <w:lang w:val="es-ES"/>
        </w:rPr>
        <w:t>RRSP por sus siglas en inglés), fondo de ingresos de jubilación registrado (RRIF por sus siglas en inglés) u otro plan o fondo registrado ante un fiduciario, cuando los beneficiarios del plan o fondo estén limitados a usted o a su esposo/a, hijos o padres, siempre que:</w:t>
      </w:r>
    </w:p>
    <w:p w14:paraId="15B279A8" w14:textId="77777777" w:rsidR="006913AC" w:rsidRPr="005865FE" w:rsidRDefault="00B003B9">
      <w:pPr>
        <w:pStyle w:val="NumA4"/>
        <w:rPr>
          <w:lang w:val="es-ES"/>
        </w:rPr>
      </w:pPr>
      <w:r w:rsidRPr="005865FE">
        <w:rPr>
          <w:lang w:val="es-ES"/>
        </w:rPr>
        <w:t>usted presente, de conformidad con la política de la Bolsa aplicable, una solicitud de transferencia por lo menos 10 días hábiles y no más de 30 días hábiles antes de la fecha de la transferencia propuesta;</w:t>
      </w:r>
    </w:p>
    <w:p w14:paraId="7AF1D641" w14:textId="77777777" w:rsidR="006913AC" w:rsidRPr="005865FE" w:rsidRDefault="00F33331">
      <w:pPr>
        <w:pStyle w:val="NumA4"/>
        <w:rPr>
          <w:lang w:val="es-ES"/>
        </w:rPr>
      </w:pPr>
      <w:r w:rsidRPr="005865FE">
        <w:rPr>
          <w:lang w:val="es-ES"/>
        </w:rPr>
        <w:t>la Bolsa no envíe un aviso de objeción al agente de custodia antes de las 10:00 hs.</w:t>
      </w:r>
      <w:r w:rsidR="004A7E52" w:rsidRPr="005865FE">
        <w:rPr>
          <w:lang w:val="es-ES"/>
        </w:rPr>
        <w:t xml:space="preserve"> (hora de Vancouver) o 11:00 hs. (hora de Calgary) en dicha fecha específica.</w:t>
      </w:r>
    </w:p>
    <w:p w14:paraId="2AB56C9B" w14:textId="77777777" w:rsidR="006913AC" w:rsidRPr="005865FE" w:rsidRDefault="00C145E1">
      <w:pPr>
        <w:pStyle w:val="NumA3"/>
        <w:rPr>
          <w:lang w:val="es-ES"/>
        </w:rPr>
      </w:pPr>
      <w:r w:rsidRPr="005865FE">
        <w:rPr>
          <w:lang w:val="es-ES"/>
        </w:rPr>
        <w:t>Antes de que usted pueda proceder a la transferencia, el agente de custodia deberá haber recibido:</w:t>
      </w:r>
    </w:p>
    <w:p w14:paraId="0D144CDB" w14:textId="49DA470D" w:rsidR="006913AC" w:rsidRPr="005865FE" w:rsidRDefault="004F2F11">
      <w:pPr>
        <w:pStyle w:val="NumA4"/>
        <w:rPr>
          <w:lang w:val="es-ES"/>
        </w:rPr>
      </w:pPr>
      <w:r w:rsidRPr="005865FE">
        <w:rPr>
          <w:lang w:val="es-ES"/>
        </w:rPr>
        <w:t>un comprobante de parte del fiduciario del plan o fondo transferido o del agente del fiduciario declarando que, al mejor saber y entender del fiduciario, el rentista de los RRSP o RRIF, o los beneficiarios de otros planes o fondos registrados no incluyen a ninguna persona física o moral que no sea usted y su esposo/a, hijos o padres;</w:t>
      </w:r>
    </w:p>
    <w:p w14:paraId="5ED5192A" w14:textId="77777777" w:rsidR="006913AC" w:rsidRPr="005865FE" w:rsidRDefault="005C6038">
      <w:pPr>
        <w:pStyle w:val="NumA4"/>
        <w:rPr>
          <w:lang w:val="es-ES"/>
        </w:rPr>
      </w:pPr>
      <w:r w:rsidRPr="005865FE">
        <w:rPr>
          <w:lang w:val="es-ES"/>
        </w:rPr>
        <w:t>un poder de transferencia celebrado por el cesionario de conformidad con los requisitos del agente de transferencia del emisor;</w:t>
      </w:r>
    </w:p>
    <w:p w14:paraId="30335586" w14:textId="77777777" w:rsidR="006913AC" w:rsidRPr="005865FE" w:rsidRDefault="00317CA3">
      <w:pPr>
        <w:pStyle w:val="NumA4"/>
        <w:rPr>
          <w:lang w:val="es-ES"/>
        </w:rPr>
      </w:pPr>
      <w:r w:rsidRPr="005865FE">
        <w:rPr>
          <w:lang w:val="es-ES"/>
        </w:rPr>
        <w:t>un reconocimiento firmado por el fiduciario del plan o fondo que siga el modelo del Formulario 5E.</w:t>
      </w:r>
    </w:p>
    <w:p w14:paraId="3C64B36C" w14:textId="77777777" w:rsidR="006913AC" w:rsidRPr="005865FE" w:rsidRDefault="004A7E52">
      <w:pPr>
        <w:pStyle w:val="NumA2"/>
        <w:rPr>
          <w:lang w:val="es-ES"/>
        </w:rPr>
      </w:pPr>
      <w:r w:rsidRPr="005865FE">
        <w:rPr>
          <w:lang w:val="es-ES"/>
        </w:rPr>
        <w:t>Efecto de la transferencia de los valores en custodia</w:t>
      </w:r>
    </w:p>
    <w:p w14:paraId="7E44037B" w14:textId="6AD8FC65" w:rsidR="006913AC" w:rsidRPr="005865FE" w:rsidRDefault="00A22481">
      <w:pPr>
        <w:pStyle w:val="NumAext2"/>
        <w:rPr>
          <w:lang w:val="es-ES"/>
        </w:rPr>
      </w:pPr>
      <w:r w:rsidRPr="005865FE">
        <w:rPr>
          <w:lang w:val="es-ES"/>
        </w:rPr>
        <w:t>Todo valor en custodia permanecerá en custodia y se libera de conformidad con el presente contrato como si no hubiese ocurrido ninguna transferencia, en los mismos términos que se aplicaban antes de la transferencia.</w:t>
      </w:r>
      <w:r w:rsidR="00905438" w:rsidRPr="005865FE">
        <w:rPr>
          <w:lang w:val="es-ES"/>
        </w:rPr>
        <w:t xml:space="preserve"> </w:t>
      </w:r>
      <w:r w:rsidR="003B631D" w:rsidRPr="005865FE">
        <w:rPr>
          <w:lang w:val="es-ES"/>
        </w:rPr>
        <w:t>El agente de custodia no entregará a los suscriptores de la transferencia</w:t>
      </w:r>
      <w:r w:rsidR="00BA6EEB">
        <w:rPr>
          <w:lang w:val="es-ES"/>
        </w:rPr>
        <w:t xml:space="preserve"> </w:t>
      </w:r>
      <w:r w:rsidR="00BA4FA2">
        <w:rPr>
          <w:lang w:val="es-ES"/>
        </w:rPr>
        <w:t>relacionados con</w:t>
      </w:r>
      <w:r w:rsidR="00BA4FA2" w:rsidRPr="005865FE">
        <w:rPr>
          <w:lang w:val="es-ES"/>
        </w:rPr>
        <w:t xml:space="preserve"> </w:t>
      </w:r>
      <w:r w:rsidR="00BA4FA2">
        <w:rPr>
          <w:lang w:val="es-ES"/>
        </w:rPr>
        <w:t>l</w:t>
      </w:r>
      <w:r w:rsidR="00BA4FA2" w:rsidRPr="005865FE">
        <w:rPr>
          <w:lang w:val="es-ES"/>
        </w:rPr>
        <w:t>a</w:t>
      </w:r>
      <w:r w:rsidR="00BA4FA2">
        <w:rPr>
          <w:lang w:val="es-ES"/>
        </w:rPr>
        <w:t xml:space="preserve"> presente</w:t>
      </w:r>
      <w:r w:rsidR="00BA4FA2" w:rsidRPr="005865FE">
        <w:rPr>
          <w:lang w:val="es-ES"/>
        </w:rPr>
        <w:t xml:space="preserve"> </w:t>
      </w:r>
      <w:r w:rsidR="00BA4FA2" w:rsidRPr="005865FE">
        <w:rPr>
          <w:lang w:val="es-ES"/>
        </w:rPr>
        <w:fldChar w:fldCharType="begin"/>
      </w:r>
      <w:r w:rsidR="00BA4FA2" w:rsidRPr="005865FE">
        <w:rPr>
          <w:lang w:val="es-ES"/>
        </w:rPr>
        <w:instrText xml:space="preserve"> REF _Ref19543465 \r \h </w:instrText>
      </w:r>
      <w:r w:rsidR="00BA4FA2" w:rsidRPr="005865FE">
        <w:rPr>
          <w:lang w:val="es-ES"/>
        </w:rPr>
      </w:r>
      <w:r w:rsidR="00BA4FA2" w:rsidRPr="005865FE">
        <w:rPr>
          <w:lang w:val="es-ES"/>
        </w:rPr>
        <w:fldChar w:fldCharType="separate"/>
      </w:r>
      <w:r w:rsidR="00BA4FA2" w:rsidRPr="005865FE">
        <w:rPr>
          <w:lang w:val="es-ES"/>
        </w:rPr>
        <w:t>parte</w:t>
      </w:r>
      <w:r w:rsidR="00BA4FA2" w:rsidRPr="005865FE">
        <w:rPr>
          <w:lang w:val="es-ES"/>
        </w:rPr>
        <w:fldChar w:fldCharType="end"/>
      </w:r>
      <w:r w:rsidR="00BA4FA2">
        <w:rPr>
          <w:lang w:val="es-ES"/>
        </w:rPr>
        <w:t xml:space="preserve"> </w:t>
      </w:r>
      <w:r w:rsidR="003B631D" w:rsidRPr="005865FE">
        <w:rPr>
          <w:lang w:val="es-ES"/>
        </w:rPr>
        <w:t>ningún certificado u otro comprobante de los valores</w:t>
      </w:r>
      <w:r w:rsidR="00BA6EEB">
        <w:rPr>
          <w:lang w:val="es-ES"/>
        </w:rPr>
        <w:t xml:space="preserve"> en </w:t>
      </w:r>
      <w:r w:rsidR="00BA6EEB" w:rsidRPr="005865FE">
        <w:rPr>
          <w:lang w:val="es-ES"/>
        </w:rPr>
        <w:t>custodia</w:t>
      </w:r>
      <w:r w:rsidR="003B631D" w:rsidRPr="005865FE">
        <w:rPr>
          <w:lang w:val="es-ES"/>
        </w:rPr>
        <w:t>.</w:t>
      </w:r>
    </w:p>
    <w:p w14:paraId="1246904E" w14:textId="77777777" w:rsidR="006913AC" w:rsidRPr="005865FE" w:rsidRDefault="004A7E52">
      <w:pPr>
        <w:pStyle w:val="NumA2"/>
        <w:rPr>
          <w:lang w:val="es-ES"/>
        </w:rPr>
      </w:pPr>
      <w:r w:rsidRPr="005865FE">
        <w:rPr>
          <w:lang w:val="es-ES"/>
        </w:rPr>
        <w:t>Aplicaciones de discrecionalidad</w:t>
      </w:r>
    </w:p>
    <w:p w14:paraId="381AB550" w14:textId="77777777" w:rsidR="006913AC" w:rsidRPr="005865FE" w:rsidRDefault="00A04C56">
      <w:pPr>
        <w:pStyle w:val="NumAext2"/>
        <w:rPr>
          <w:lang w:val="es-ES"/>
        </w:rPr>
      </w:pPr>
      <w:r w:rsidRPr="005865FE">
        <w:rPr>
          <w:lang w:val="es-ES"/>
        </w:rPr>
        <w:t>La Bolsa podrá aprobar la transferencia de los valores en custodia en otras circunstancias, según los términos y condiciones que considere adecuados.</w:t>
      </w:r>
    </w:p>
    <w:p w14:paraId="73AA81A5" w14:textId="479941EB" w:rsidR="006913AC" w:rsidRPr="005865FE" w:rsidRDefault="00D01136">
      <w:pPr>
        <w:pStyle w:val="NumA1"/>
        <w:rPr>
          <w:lang w:val="es-ES"/>
        </w:rPr>
      </w:pPr>
      <w:r w:rsidRPr="005865FE">
        <w:rPr>
          <w:lang w:val="es-ES"/>
        </w:rPr>
        <w:t xml:space="preserve">COMBINACIONES DE </w:t>
      </w:r>
      <w:r w:rsidR="00986344">
        <w:rPr>
          <w:lang w:val="es-ES"/>
        </w:rPr>
        <w:t>NEGOCIO</w:t>
      </w:r>
      <w:r w:rsidR="00986344" w:rsidRPr="005865FE">
        <w:rPr>
          <w:lang w:val="es-ES"/>
        </w:rPr>
        <w:t>S</w:t>
      </w:r>
    </w:p>
    <w:p w14:paraId="6F3C90FF" w14:textId="5D82A18C" w:rsidR="006913AC" w:rsidRPr="005865FE" w:rsidRDefault="00826CAF">
      <w:pPr>
        <w:pStyle w:val="NumA2"/>
        <w:rPr>
          <w:lang w:val="es-ES"/>
        </w:rPr>
      </w:pPr>
      <w:r w:rsidRPr="005865FE">
        <w:rPr>
          <w:lang w:val="es-ES"/>
        </w:rPr>
        <w:t xml:space="preserve">Combinaciones de </w:t>
      </w:r>
      <w:r w:rsidR="009E2945">
        <w:rPr>
          <w:lang w:val="es-ES"/>
        </w:rPr>
        <w:t>n</w:t>
      </w:r>
      <w:r w:rsidR="00986344">
        <w:rPr>
          <w:lang w:val="es-ES"/>
        </w:rPr>
        <w:t>egocio</w:t>
      </w:r>
      <w:r w:rsidRPr="005865FE">
        <w:rPr>
          <w:lang w:val="es-ES"/>
        </w:rPr>
        <w:t>s</w:t>
      </w:r>
    </w:p>
    <w:p w14:paraId="019382CC" w14:textId="77DB4BBF" w:rsidR="006913AC" w:rsidRPr="005865FE" w:rsidRDefault="00F10BC2">
      <w:pPr>
        <w:pStyle w:val="NumAext2"/>
        <w:rPr>
          <w:lang w:val="es-ES"/>
        </w:rPr>
      </w:pPr>
      <w:r w:rsidRPr="005865FE">
        <w:rPr>
          <w:lang w:val="es-ES"/>
        </w:rPr>
        <w:t xml:space="preserve">La presente parte se aplica a las combinaciones de </w:t>
      </w:r>
      <w:r w:rsidR="00986344">
        <w:rPr>
          <w:lang w:val="es-ES"/>
        </w:rPr>
        <w:t>negocio</w:t>
      </w:r>
      <w:r w:rsidRPr="005865FE">
        <w:rPr>
          <w:lang w:val="es-ES"/>
        </w:rPr>
        <w:t>s siguientes (las “</w:t>
      </w:r>
      <w:r w:rsidRPr="005865FE">
        <w:rPr>
          <w:b/>
          <w:lang w:val="es-ES"/>
        </w:rPr>
        <w:t xml:space="preserve">combinaciones de </w:t>
      </w:r>
      <w:r w:rsidR="00986344">
        <w:rPr>
          <w:b/>
          <w:lang w:val="es-ES"/>
        </w:rPr>
        <w:t>negocio</w:t>
      </w:r>
      <w:r w:rsidRPr="005865FE">
        <w:rPr>
          <w:b/>
          <w:lang w:val="es-ES"/>
        </w:rPr>
        <w:t>s</w:t>
      </w:r>
      <w:r w:rsidRPr="005865FE">
        <w:rPr>
          <w:lang w:val="es-ES"/>
        </w:rPr>
        <w:t>”):</w:t>
      </w:r>
    </w:p>
    <w:p w14:paraId="130D7ED7" w14:textId="77777777" w:rsidR="006913AC" w:rsidRPr="005865FE" w:rsidRDefault="00B34F7F" w:rsidP="00664EAE">
      <w:pPr>
        <w:pStyle w:val="NumA4"/>
        <w:rPr>
          <w:lang w:val="es-ES"/>
        </w:rPr>
      </w:pPr>
      <w:r w:rsidRPr="005865FE">
        <w:rPr>
          <w:lang w:val="es-ES"/>
        </w:rPr>
        <w:t>una oferta de adquisición formal por todos los títulos de participación en circulación del emisor o aquellos que resultarían en un cambio de control del emisor si se tiene éxito;</w:t>
      </w:r>
    </w:p>
    <w:p w14:paraId="07C7B076" w14:textId="77777777" w:rsidR="006913AC" w:rsidRPr="005865FE" w:rsidRDefault="00FF74ED" w:rsidP="00664EAE">
      <w:pPr>
        <w:pStyle w:val="NumA4"/>
        <w:rPr>
          <w:lang w:val="es-ES"/>
        </w:rPr>
      </w:pPr>
      <w:r w:rsidRPr="005865FE">
        <w:rPr>
          <w:lang w:val="es-ES"/>
        </w:rPr>
        <w:t>una oferta de emisor formal por todos los títulos de participación en circulación del emisor;</w:t>
      </w:r>
    </w:p>
    <w:p w14:paraId="12C9603F" w14:textId="77777777" w:rsidR="006913AC" w:rsidRPr="005865FE" w:rsidRDefault="00851CFF" w:rsidP="00D01136">
      <w:pPr>
        <w:pStyle w:val="NumA4"/>
        <w:ind w:left="2160" w:hanging="1440"/>
        <w:rPr>
          <w:lang w:val="es-ES"/>
        </w:rPr>
      </w:pPr>
      <w:r w:rsidRPr="005865FE">
        <w:rPr>
          <w:lang w:val="es-ES"/>
        </w:rPr>
        <w:t>un acuerdo legal;</w:t>
      </w:r>
    </w:p>
    <w:p w14:paraId="527E03A6" w14:textId="77777777" w:rsidR="006913AC" w:rsidRPr="005865FE" w:rsidRDefault="00FC7EDB" w:rsidP="00664EAE">
      <w:pPr>
        <w:pStyle w:val="NumA4"/>
        <w:rPr>
          <w:lang w:val="es-ES"/>
        </w:rPr>
      </w:pPr>
      <w:r w:rsidRPr="005865FE">
        <w:rPr>
          <w:lang w:val="es-ES"/>
        </w:rPr>
        <w:t>una fusión propiamente dicha;</w:t>
      </w:r>
    </w:p>
    <w:p w14:paraId="475EE6AF" w14:textId="77777777" w:rsidR="006913AC" w:rsidRPr="005865FE" w:rsidRDefault="001C2CF1" w:rsidP="00664EAE">
      <w:pPr>
        <w:pStyle w:val="NumA4"/>
        <w:rPr>
          <w:lang w:val="es-ES"/>
        </w:rPr>
      </w:pPr>
      <w:r w:rsidRPr="005865FE">
        <w:rPr>
          <w:lang w:val="es-ES"/>
        </w:rPr>
        <w:t>una fusión;</w:t>
      </w:r>
    </w:p>
    <w:p w14:paraId="1EC4B4F9" w14:textId="77777777" w:rsidR="006913AC" w:rsidRPr="005865FE" w:rsidRDefault="001E4031" w:rsidP="00664EAE">
      <w:pPr>
        <w:pStyle w:val="NumA4"/>
        <w:rPr>
          <w:lang w:val="es-ES"/>
        </w:rPr>
      </w:pPr>
      <w:r w:rsidRPr="005865FE">
        <w:rPr>
          <w:lang w:val="es-ES"/>
        </w:rPr>
        <w:t>una reorganización que tenga un efecto similar a una fusión propiamente dicha o fusión.</w:t>
      </w:r>
    </w:p>
    <w:p w14:paraId="7B5F6F6C" w14:textId="77777777" w:rsidR="006913AC" w:rsidRPr="005865FE" w:rsidRDefault="000B5D65">
      <w:pPr>
        <w:pStyle w:val="NumA2"/>
        <w:rPr>
          <w:lang w:val="es-ES"/>
        </w:rPr>
      </w:pPr>
      <w:r w:rsidRPr="005865FE">
        <w:rPr>
          <w:lang w:val="es-ES"/>
        </w:rPr>
        <w:t>Entrega al agente de custodia</w:t>
      </w:r>
    </w:p>
    <w:p w14:paraId="17428091" w14:textId="32F5E063" w:rsidR="006913AC" w:rsidRPr="005865FE" w:rsidRDefault="00511AB9">
      <w:pPr>
        <w:pStyle w:val="NumAext2"/>
        <w:rPr>
          <w:lang w:val="es-ES"/>
        </w:rPr>
      </w:pPr>
      <w:r w:rsidRPr="005865FE">
        <w:rPr>
          <w:lang w:val="es-ES"/>
        </w:rPr>
        <w:t xml:space="preserve">Usted podrá ofrecer sus valores en custodia a una persona física o moral en </w:t>
      </w:r>
      <w:r w:rsidR="005F076D">
        <w:rPr>
          <w:lang w:val="es-ES"/>
        </w:rPr>
        <w:t>relación con</w:t>
      </w:r>
      <w:r w:rsidRPr="005865FE">
        <w:rPr>
          <w:lang w:val="es-ES"/>
        </w:rPr>
        <w:t xml:space="preserve"> una combinación de </w:t>
      </w:r>
      <w:r w:rsidR="00986344">
        <w:rPr>
          <w:lang w:val="es-ES"/>
        </w:rPr>
        <w:t>negocio</w:t>
      </w:r>
      <w:r w:rsidRPr="005865FE">
        <w:rPr>
          <w:lang w:val="es-ES"/>
        </w:rPr>
        <w:t>s.</w:t>
      </w:r>
      <w:r w:rsidR="004A7E52" w:rsidRPr="005865FE">
        <w:rPr>
          <w:lang w:val="es-ES"/>
        </w:rPr>
        <w:t xml:space="preserve"> </w:t>
      </w:r>
      <w:r w:rsidR="00E9040B" w:rsidRPr="005865FE">
        <w:rPr>
          <w:lang w:val="es-ES"/>
        </w:rPr>
        <w:t>Al menos cinco días hábiles antes de la fecha en que los valores en custodia deben depositarse, usted deberá haber entregado al agente de custodia:</w:t>
      </w:r>
    </w:p>
    <w:p w14:paraId="6D4AF7BD" w14:textId="3A7B99AE" w:rsidR="006913AC" w:rsidRPr="005865FE" w:rsidRDefault="00401D5A">
      <w:pPr>
        <w:pStyle w:val="NumA4"/>
        <w:rPr>
          <w:lang w:val="es-ES"/>
        </w:rPr>
      </w:pPr>
      <w:r w:rsidRPr="005865FE">
        <w:rPr>
          <w:lang w:val="es-ES"/>
        </w:rPr>
        <w:t xml:space="preserve">una instrucción escrita firmada por usted que le instruya para que entregue al depositario en relación con una combinación de </w:t>
      </w:r>
      <w:r w:rsidR="00986344">
        <w:rPr>
          <w:lang w:val="es-ES"/>
        </w:rPr>
        <w:t>negocio</w:t>
      </w:r>
      <w:r w:rsidRPr="005865FE">
        <w:rPr>
          <w:lang w:val="es-ES"/>
        </w:rPr>
        <w:t xml:space="preserve">s los certificados u otros comprobantes de los valores en custodia, así como una carta de acompañamiento o un documento similar completo y firmado y, si se requiriese, un poder en vista de una transferencia completo y firmado de acuerdo con los requisitos del depositario del emisor, al igual que cualquier otro documento que usted haya especificado o que deba proveer y que deba entregarse al depositario en relación con la combinación de </w:t>
      </w:r>
      <w:r w:rsidR="00986344">
        <w:rPr>
          <w:lang w:val="es-ES"/>
        </w:rPr>
        <w:t>negocio</w:t>
      </w:r>
      <w:r w:rsidRPr="005865FE">
        <w:rPr>
          <w:lang w:val="es-ES"/>
        </w:rPr>
        <w:t>s;</w:t>
      </w:r>
    </w:p>
    <w:p w14:paraId="700F0F49" w14:textId="77777777" w:rsidR="006913AC" w:rsidRPr="005865FE" w:rsidRDefault="0063309E">
      <w:pPr>
        <w:pStyle w:val="NumA4"/>
        <w:rPr>
          <w:lang w:val="es-ES"/>
        </w:rPr>
      </w:pPr>
      <w:r w:rsidRPr="005865FE">
        <w:rPr>
          <w:lang w:val="es-ES"/>
        </w:rPr>
        <w:t>consentimiento escrito de la Bolsa;</w:t>
      </w:r>
    </w:p>
    <w:p w14:paraId="0CCA46A7" w14:textId="32C37B4F" w:rsidR="006913AC" w:rsidRPr="005865FE" w:rsidRDefault="00E86980">
      <w:pPr>
        <w:pStyle w:val="NumA4"/>
        <w:rPr>
          <w:lang w:val="es-ES"/>
        </w:rPr>
      </w:pPr>
      <w:r w:rsidRPr="005865FE">
        <w:rPr>
          <w:lang w:val="es-ES"/>
        </w:rPr>
        <w:t xml:space="preserve">toda otra información relativa a la combinación de </w:t>
      </w:r>
      <w:r w:rsidR="00986344">
        <w:rPr>
          <w:lang w:val="es-ES"/>
        </w:rPr>
        <w:t>negocio</w:t>
      </w:r>
      <w:r w:rsidRPr="005865FE">
        <w:rPr>
          <w:lang w:val="es-ES"/>
        </w:rPr>
        <w:t>s que el agente de custodia pueda razonablemente requerir.</w:t>
      </w:r>
    </w:p>
    <w:p w14:paraId="47053422" w14:textId="77777777" w:rsidR="006913AC" w:rsidRPr="005865FE" w:rsidRDefault="00CC563B">
      <w:pPr>
        <w:pStyle w:val="NumA2"/>
        <w:rPr>
          <w:lang w:val="es-ES"/>
        </w:rPr>
      </w:pPr>
      <w:r w:rsidRPr="005865FE">
        <w:rPr>
          <w:lang w:val="es-ES"/>
        </w:rPr>
        <w:t>Entrega al depositario</w:t>
      </w:r>
    </w:p>
    <w:p w14:paraId="2DADD06C" w14:textId="2B8CE51A" w:rsidR="006913AC" w:rsidRPr="005865FE" w:rsidRDefault="00625738">
      <w:pPr>
        <w:pStyle w:val="NumAext2"/>
        <w:rPr>
          <w:lang w:val="es-ES"/>
        </w:rPr>
      </w:pPr>
      <w:r w:rsidRPr="005865FE">
        <w:rPr>
          <w:lang w:val="es-ES"/>
        </w:rPr>
        <w:t xml:space="preserve">Tan pronto como sea razonablemente posible, y en ningún caso después de tres días hábiles con posterioridad al momento en que el agente de custodia reciba los documentos y la información requerida por el </w:t>
      </w:r>
      <w:r w:rsidRPr="005865FE">
        <w:rPr>
          <w:lang w:val="es-ES"/>
        </w:rPr>
        <w:fldChar w:fldCharType="begin"/>
      </w:r>
      <w:r w:rsidRPr="005865FE">
        <w:rPr>
          <w:lang w:val="es-ES"/>
        </w:rPr>
        <w:instrText xml:space="preserve"> REF _Ref4840710 \w \h </w:instrText>
      </w:r>
      <w:r w:rsidRPr="005865FE">
        <w:rPr>
          <w:lang w:val="es-ES"/>
        </w:rPr>
      </w:r>
      <w:r w:rsidRPr="005865FE">
        <w:rPr>
          <w:lang w:val="es-ES"/>
        </w:rPr>
        <w:fldChar w:fldCharType="separate"/>
      </w:r>
      <w:r w:rsidRPr="005865FE">
        <w:rPr>
          <w:lang w:val="es-ES"/>
        </w:rPr>
        <w:t>párrafo</w:t>
      </w:r>
      <w:r w:rsidRPr="005865FE">
        <w:rPr>
          <w:lang w:val="es-ES"/>
        </w:rPr>
        <w:fldChar w:fldCharType="end"/>
      </w:r>
      <w:r w:rsidRPr="005865FE">
        <w:rPr>
          <w:lang w:val="es-ES"/>
        </w:rPr>
        <w:t xml:space="preserve"> 6.2, el agente de custodia entregará al depositario, de conformidad con la instrucción, todo certificado u otro comprobante de los valores en custodia y una carta dirigida al depositario que</w:t>
      </w:r>
      <w:r w:rsidR="003E2481">
        <w:rPr>
          <w:lang w:val="es-ES"/>
        </w:rPr>
        <w:t>:</w:t>
      </w:r>
    </w:p>
    <w:p w14:paraId="0021916F" w14:textId="77777777" w:rsidR="006913AC" w:rsidRPr="005865FE" w:rsidRDefault="000112EE">
      <w:pPr>
        <w:pStyle w:val="NumA4"/>
        <w:rPr>
          <w:lang w:val="es-ES"/>
        </w:rPr>
      </w:pPr>
      <w:r w:rsidRPr="005865FE">
        <w:rPr>
          <w:lang w:val="es-ES"/>
        </w:rPr>
        <w:t>enumere los valores en custodia que se depositan;</w:t>
      </w:r>
    </w:p>
    <w:p w14:paraId="22D50CC4" w14:textId="77777777" w:rsidR="006913AC" w:rsidRPr="005865FE" w:rsidRDefault="009B039F">
      <w:pPr>
        <w:pStyle w:val="NumA4"/>
        <w:rPr>
          <w:lang w:val="es-ES"/>
        </w:rPr>
      </w:pPr>
      <w:r w:rsidRPr="005865FE">
        <w:rPr>
          <w:lang w:val="es-ES"/>
        </w:rPr>
        <w:t>establezca que los valores en custodia están en custodia;</w:t>
      </w:r>
    </w:p>
    <w:p w14:paraId="625792F2" w14:textId="105E4A09" w:rsidR="006913AC" w:rsidRPr="005865FE" w:rsidRDefault="009722DF">
      <w:pPr>
        <w:pStyle w:val="NumA4"/>
        <w:rPr>
          <w:lang w:val="es-ES"/>
        </w:rPr>
      </w:pPr>
      <w:r w:rsidRPr="005865FE">
        <w:rPr>
          <w:lang w:val="es-ES"/>
        </w:rPr>
        <w:t xml:space="preserve">establezca que los valores en custodia solo se entregan a los fines de la combinación de </w:t>
      </w:r>
      <w:r w:rsidR="00986344">
        <w:rPr>
          <w:lang w:val="es-ES"/>
        </w:rPr>
        <w:t>negocio</w:t>
      </w:r>
      <w:r w:rsidRPr="005865FE">
        <w:rPr>
          <w:lang w:val="es-ES"/>
        </w:rPr>
        <w:t xml:space="preserve">s y que se liberarán de solo después de que depositario en custodia reciba la información descrita en 6. </w:t>
      </w:r>
      <w:r w:rsidRPr="005865FE">
        <w:rPr>
          <w:lang w:val="es-ES"/>
        </w:rPr>
        <w:fldChar w:fldCharType="begin"/>
      </w:r>
      <w:r w:rsidRPr="005865FE">
        <w:rPr>
          <w:lang w:val="es-ES"/>
        </w:rPr>
        <w:instrText xml:space="preserve"> REF _Ref4840729 \w \h </w:instrText>
      </w:r>
      <w:r w:rsidRPr="005865FE">
        <w:rPr>
          <w:lang w:val="es-ES"/>
        </w:rPr>
      </w:r>
      <w:r w:rsidRPr="005865FE">
        <w:rPr>
          <w:lang w:val="es-ES"/>
        </w:rPr>
        <w:fldChar w:fldCharType="separate"/>
      </w:r>
      <w:r w:rsidRPr="005865FE">
        <w:rPr>
          <w:lang w:val="es-ES"/>
        </w:rPr>
        <w:t>4</w:t>
      </w:r>
      <w:r w:rsidRPr="005865FE">
        <w:rPr>
          <w:lang w:val="es-ES"/>
        </w:rPr>
        <w:fldChar w:fldCharType="end"/>
      </w:r>
      <w:r w:rsidRPr="005865FE">
        <w:rPr>
          <w:lang w:val="es-ES"/>
        </w:rPr>
        <w:t>;</w:t>
      </w:r>
    </w:p>
    <w:p w14:paraId="54AD2AAD" w14:textId="0C4B07ED" w:rsidR="006913AC" w:rsidRPr="005865FE" w:rsidRDefault="00971665">
      <w:pPr>
        <w:pStyle w:val="NumA4"/>
        <w:rPr>
          <w:lang w:val="es-ES"/>
        </w:rPr>
      </w:pPr>
      <w:r w:rsidRPr="005865FE">
        <w:rPr>
          <w:lang w:val="es-ES"/>
        </w:rPr>
        <w:t xml:space="preserve">requiera, si alguno de los certificados u otros comprobantes de los valores en custodia se han entregado al depositario, que el depositario que devuelva al agente de custodia, tan pronto como sea posible, los certificados u otros comprobantes de los valores en custodia que no estén liberados en relación con la combinación de </w:t>
      </w:r>
      <w:r w:rsidR="00986344">
        <w:rPr>
          <w:lang w:val="es-ES"/>
        </w:rPr>
        <w:t>negocio</w:t>
      </w:r>
      <w:r w:rsidRPr="005865FE">
        <w:rPr>
          <w:lang w:val="es-ES"/>
        </w:rPr>
        <w:t>s;</w:t>
      </w:r>
    </w:p>
    <w:p w14:paraId="124B03BF" w14:textId="357BBB9B" w:rsidR="006913AC" w:rsidRPr="005865FE" w:rsidRDefault="002E5A25">
      <w:pPr>
        <w:pStyle w:val="NumA4"/>
        <w:rPr>
          <w:lang w:val="es-ES"/>
        </w:rPr>
      </w:pPr>
      <w:r w:rsidRPr="005865FE">
        <w:rPr>
          <w:lang w:val="es-ES"/>
        </w:rPr>
        <w:t xml:space="preserve">requiera, cuando corresponda, que el depositario entregue o haga entregar al agente de custodia, tan pronto como sea posible, los certificados u otros comprobantes de los valores en custodia adicionales que usted adquiera en relación con la combinación de </w:t>
      </w:r>
      <w:r w:rsidR="00986344">
        <w:rPr>
          <w:lang w:val="es-ES"/>
        </w:rPr>
        <w:t>negocio</w:t>
      </w:r>
      <w:r w:rsidRPr="005865FE">
        <w:rPr>
          <w:lang w:val="es-ES"/>
        </w:rPr>
        <w:t>s.</w:t>
      </w:r>
    </w:p>
    <w:p w14:paraId="62DB6225" w14:textId="77777777" w:rsidR="006913AC" w:rsidRPr="005865FE" w:rsidRDefault="0048231E">
      <w:pPr>
        <w:pStyle w:val="NumA2"/>
        <w:rPr>
          <w:lang w:val="es-ES"/>
        </w:rPr>
      </w:pPr>
      <w:r w:rsidRPr="005865FE">
        <w:rPr>
          <w:lang w:val="es-ES"/>
        </w:rPr>
        <w:t>Liberación de los valores en custodia a favor del depositario</w:t>
      </w:r>
    </w:p>
    <w:p w14:paraId="15510248" w14:textId="77777777" w:rsidR="006913AC" w:rsidRPr="005865FE" w:rsidRDefault="00D8199A">
      <w:pPr>
        <w:pStyle w:val="NumA3"/>
        <w:rPr>
          <w:lang w:val="es-ES"/>
        </w:rPr>
      </w:pPr>
      <w:r w:rsidRPr="005865FE">
        <w:rPr>
          <w:lang w:val="es-ES"/>
        </w:rPr>
        <w:t>El agente de custodia se compromete a liberar los valores en custodia depositados siempre que:</w:t>
      </w:r>
    </w:p>
    <w:p w14:paraId="5FD139A7" w14:textId="77777777" w:rsidR="006913AC" w:rsidRPr="005865FE" w:rsidRDefault="004F6F30">
      <w:pPr>
        <w:pStyle w:val="NumA4"/>
        <w:rPr>
          <w:lang w:val="es-ES"/>
        </w:rPr>
      </w:pPr>
      <w:r w:rsidRPr="005865FE">
        <w:rPr>
          <w:lang w:val="es-ES"/>
        </w:rPr>
        <w:t>usted o el emisor presenten, de conformidad con la política de la Bolsa aplicable, una solicitud de liberación de los valores en custodia depositados en una fecha de al menos 10 días hábiles y no más de 30 días hábiles anteriores a la fecha de liberación propuesta;</w:t>
      </w:r>
    </w:p>
    <w:p w14:paraId="789DB007" w14:textId="77777777" w:rsidR="006913AC" w:rsidRPr="005865FE" w:rsidRDefault="00F33331">
      <w:pPr>
        <w:pStyle w:val="NumA4"/>
        <w:rPr>
          <w:lang w:val="es-ES"/>
        </w:rPr>
      </w:pPr>
      <w:r w:rsidRPr="005865FE">
        <w:rPr>
          <w:lang w:val="es-ES"/>
        </w:rPr>
        <w:t>la Bolsa no envíe un aviso de objeción al agente de custodia antes de las 10:00 hs.</w:t>
      </w:r>
      <w:r w:rsidR="004A7E52" w:rsidRPr="005865FE">
        <w:rPr>
          <w:lang w:val="es-ES"/>
        </w:rPr>
        <w:t xml:space="preserve"> (hora de Vancouver) o 11:00 hs. </w:t>
      </w:r>
      <w:r w:rsidR="00D42A67" w:rsidRPr="005865FE">
        <w:rPr>
          <w:lang w:val="es-ES"/>
        </w:rPr>
        <w:t>(hora de Calgary) en dicha fecha específica;</w:t>
      </w:r>
    </w:p>
    <w:p w14:paraId="5477001E" w14:textId="66D8FF19" w:rsidR="006913AC" w:rsidRPr="005865FE" w:rsidRDefault="00687793">
      <w:pPr>
        <w:pStyle w:val="NumA4"/>
        <w:rPr>
          <w:lang w:val="es-ES"/>
        </w:rPr>
      </w:pPr>
      <w:r w:rsidRPr="005865FE">
        <w:rPr>
          <w:lang w:val="es-ES"/>
        </w:rPr>
        <w:t xml:space="preserve">el agente de custodia reciba una declaración firmada por el depositario o, si las instrucciones indican que el depositario actúe en representación de otra persona física o moral en relación con la combinación de </w:t>
      </w:r>
      <w:r w:rsidR="00986344">
        <w:rPr>
          <w:lang w:val="es-ES"/>
        </w:rPr>
        <w:t>negocio</w:t>
      </w:r>
      <w:r w:rsidRPr="005865FE">
        <w:rPr>
          <w:lang w:val="es-ES"/>
        </w:rPr>
        <w:t>s, por dicha otra persona física o moral, que indique que:</w:t>
      </w:r>
    </w:p>
    <w:p w14:paraId="744C573C" w14:textId="2DBF6176" w:rsidR="006913AC" w:rsidRPr="005865FE" w:rsidRDefault="005B271C">
      <w:pPr>
        <w:pStyle w:val="NumA5"/>
        <w:rPr>
          <w:lang w:val="es-ES"/>
        </w:rPr>
      </w:pPr>
      <w:r w:rsidRPr="005865FE">
        <w:rPr>
          <w:lang w:val="es-ES"/>
        </w:rPr>
        <w:t xml:space="preserve">los términos y condiciones de la combinación de </w:t>
      </w:r>
      <w:r w:rsidR="00986344">
        <w:rPr>
          <w:lang w:val="es-ES"/>
        </w:rPr>
        <w:t>negocio</w:t>
      </w:r>
      <w:r w:rsidRPr="005865FE">
        <w:rPr>
          <w:lang w:val="es-ES"/>
        </w:rPr>
        <w:t>s se han cumplido o se ha renunciado a ellos;</w:t>
      </w:r>
    </w:p>
    <w:p w14:paraId="2FBB9EEB" w14:textId="220ABD9E" w:rsidR="006913AC" w:rsidRPr="005865FE" w:rsidRDefault="00D64A56">
      <w:pPr>
        <w:pStyle w:val="NumA5"/>
        <w:rPr>
          <w:lang w:val="es-ES"/>
        </w:rPr>
      </w:pPr>
      <w:r w:rsidRPr="005865FE">
        <w:rPr>
          <w:lang w:val="es-ES"/>
        </w:rPr>
        <w:t xml:space="preserve">los valores en custodia han sido adquiridos y pagados o están sujetos a una obligación incondicional para ser adquiridos o pagados </w:t>
      </w:r>
      <w:r w:rsidR="00CE0BD2" w:rsidRPr="007420DC">
        <w:rPr>
          <w:lang w:val="es-ES"/>
        </w:rPr>
        <w:t>en relación con</w:t>
      </w:r>
      <w:r w:rsidRPr="007420DC">
        <w:rPr>
          <w:lang w:val="es-ES"/>
        </w:rPr>
        <w:t xml:space="preserve"> </w:t>
      </w:r>
      <w:r w:rsidRPr="005865FE">
        <w:rPr>
          <w:lang w:val="es-ES"/>
        </w:rPr>
        <w:t xml:space="preserve">la combinación de </w:t>
      </w:r>
      <w:r w:rsidR="00986344">
        <w:rPr>
          <w:lang w:val="es-ES"/>
        </w:rPr>
        <w:t>negocio</w:t>
      </w:r>
      <w:r w:rsidRPr="005865FE">
        <w:rPr>
          <w:lang w:val="es-ES"/>
        </w:rPr>
        <w:t>s.</w:t>
      </w:r>
    </w:p>
    <w:p w14:paraId="4BCC7C9B" w14:textId="77777777" w:rsidR="006913AC" w:rsidRPr="005865FE" w:rsidRDefault="004A7E52">
      <w:pPr>
        <w:pStyle w:val="NumA2"/>
        <w:rPr>
          <w:lang w:val="es-ES"/>
        </w:rPr>
      </w:pPr>
      <w:bookmarkStart w:id="5" w:name="_Ref4840750"/>
      <w:r w:rsidRPr="005865FE">
        <w:rPr>
          <w:lang w:val="es-ES"/>
        </w:rPr>
        <w:t>Custodia de valores nuevos</w:t>
      </w:r>
      <w:bookmarkEnd w:id="5"/>
    </w:p>
    <w:p w14:paraId="7ED51AF9" w14:textId="77777777" w:rsidR="006913AC" w:rsidRPr="005865FE" w:rsidRDefault="009179C3">
      <w:pPr>
        <w:pStyle w:val="NumAext2"/>
        <w:rPr>
          <w:lang w:val="es-ES"/>
        </w:rPr>
      </w:pPr>
      <w:r w:rsidRPr="005865FE">
        <w:rPr>
          <w:lang w:val="es-ES"/>
        </w:rPr>
        <w:t>Si recibe valores nuevos (los “</w:t>
      </w:r>
      <w:r w:rsidRPr="005865FE">
        <w:rPr>
          <w:b/>
          <w:lang w:val="es-ES"/>
        </w:rPr>
        <w:t>valores nuevos</w:t>
      </w:r>
      <w:r w:rsidRPr="005865FE">
        <w:rPr>
          <w:lang w:val="es-ES"/>
        </w:rPr>
        <w:t>”) del sucesor del emisor (el “</w:t>
      </w:r>
      <w:r w:rsidRPr="005865FE">
        <w:rPr>
          <w:b/>
          <w:lang w:val="es-ES"/>
        </w:rPr>
        <w:t>sucesor del emisor</w:t>
      </w:r>
      <w:r w:rsidRPr="005865FE">
        <w:rPr>
          <w:lang w:val="es-ES"/>
        </w:rPr>
        <w:t>”) a cambio de sus valores en custodia, los valores nuevos quedarán sujetos a custodia en reemplazo de los valores en custodia depositados.</w:t>
      </w:r>
      <w:r w:rsidR="0009763C" w:rsidRPr="005865FE">
        <w:rPr>
          <w:b/>
          <w:lang w:val="es-ES"/>
        </w:rPr>
        <w:t xml:space="preserve"> </w:t>
      </w:r>
    </w:p>
    <w:p w14:paraId="5078CC66" w14:textId="77777777" w:rsidR="006913AC" w:rsidRPr="005865FE" w:rsidRDefault="000E27EB">
      <w:pPr>
        <w:pStyle w:val="NumA2"/>
        <w:rPr>
          <w:lang w:val="es-ES"/>
        </w:rPr>
      </w:pPr>
      <w:r w:rsidRPr="005865FE">
        <w:rPr>
          <w:lang w:val="es-ES"/>
        </w:rPr>
        <w:t>Liberación de los valores nuevos</w:t>
      </w:r>
    </w:p>
    <w:p w14:paraId="45464E54" w14:textId="77777777" w:rsidR="006913AC" w:rsidRPr="005865FE" w:rsidRDefault="00CC7B43">
      <w:pPr>
        <w:pStyle w:val="NumA3"/>
        <w:rPr>
          <w:lang w:val="es-ES"/>
        </w:rPr>
      </w:pPr>
      <w:r w:rsidRPr="005865FE">
        <w:rPr>
          <w:lang w:val="es-ES"/>
        </w:rPr>
        <w:t>El agente de custodia enviará al tenedor de valores los certificados u otros comprobantes de sus valores nuevos tan pronto como sea posible después de que el agente de custodia reciba lo siguiente:</w:t>
      </w:r>
    </w:p>
    <w:p w14:paraId="3537CE39" w14:textId="77777777" w:rsidR="006913AC" w:rsidRPr="005865FE" w:rsidRDefault="00C020C4">
      <w:pPr>
        <w:pStyle w:val="NumA4"/>
        <w:rPr>
          <w:lang w:val="es-ES"/>
        </w:rPr>
      </w:pPr>
      <w:r w:rsidRPr="005865FE">
        <w:rPr>
          <w:lang w:val="es-ES"/>
        </w:rPr>
        <w:t>una declaración firmada por un director o funcionario del emisor sucesor autorizado para firmar,</w:t>
      </w:r>
    </w:p>
    <w:p w14:paraId="38EF3527" w14:textId="11191065" w:rsidR="006913AC" w:rsidRPr="005865FE" w:rsidRDefault="006E0E5D">
      <w:pPr>
        <w:pStyle w:val="NumA5"/>
        <w:rPr>
          <w:lang w:val="es-ES"/>
        </w:rPr>
      </w:pPr>
      <w:r w:rsidRPr="005865FE">
        <w:rPr>
          <w:lang w:val="es-ES"/>
        </w:rPr>
        <w:t xml:space="preserve">que especifique que es el emisor sucesor del emisor de origen como resultado de una combinación de </w:t>
      </w:r>
      <w:r w:rsidR="00986344">
        <w:rPr>
          <w:lang w:val="es-ES"/>
        </w:rPr>
        <w:t>negocio</w:t>
      </w:r>
      <w:r w:rsidRPr="005865FE">
        <w:rPr>
          <w:lang w:val="es-ES"/>
        </w:rPr>
        <w:t>s;</w:t>
      </w:r>
    </w:p>
    <w:p w14:paraId="4BD6E7D8" w14:textId="77777777" w:rsidR="006913AC" w:rsidRPr="005865FE" w:rsidRDefault="008063B0">
      <w:pPr>
        <w:pStyle w:val="NumA5"/>
        <w:rPr>
          <w:lang w:val="es-ES"/>
        </w:rPr>
      </w:pPr>
      <w:r w:rsidRPr="005865FE">
        <w:rPr>
          <w:lang w:val="es-ES"/>
        </w:rPr>
        <w:t xml:space="preserve">que contenga una lista de los tenedores de valores cuyos valores nuevos estén sujetos a custodia de conformidad con el </w:t>
      </w:r>
      <w:r w:rsidRPr="005865FE">
        <w:rPr>
          <w:lang w:val="es-ES"/>
        </w:rPr>
        <w:fldChar w:fldCharType="begin"/>
      </w:r>
      <w:r w:rsidRPr="005865FE">
        <w:rPr>
          <w:lang w:val="es-ES"/>
        </w:rPr>
        <w:instrText xml:space="preserve"> REF _Ref4840750 \w \h </w:instrText>
      </w:r>
      <w:r w:rsidRPr="005865FE">
        <w:rPr>
          <w:lang w:val="es-ES"/>
        </w:rPr>
      </w:r>
      <w:r w:rsidRPr="005865FE">
        <w:rPr>
          <w:lang w:val="es-ES"/>
        </w:rPr>
        <w:fldChar w:fldCharType="separate"/>
      </w:r>
      <w:r w:rsidRPr="005865FE">
        <w:rPr>
          <w:lang w:val="es-ES"/>
        </w:rPr>
        <w:t>párrafo</w:t>
      </w:r>
      <w:r w:rsidRPr="005865FE">
        <w:rPr>
          <w:lang w:val="es-ES"/>
        </w:rPr>
        <w:fldChar w:fldCharType="end"/>
      </w:r>
      <w:r w:rsidRPr="005865FE">
        <w:rPr>
          <w:lang w:val="es-ES"/>
        </w:rPr>
        <w:t xml:space="preserve"> 6.5;</w:t>
      </w:r>
    </w:p>
    <w:p w14:paraId="0E8918AC" w14:textId="77777777" w:rsidR="006913AC" w:rsidRPr="005865FE" w:rsidRDefault="00C64DA9">
      <w:pPr>
        <w:pStyle w:val="NumA5"/>
        <w:rPr>
          <w:lang w:val="es-ES"/>
        </w:rPr>
      </w:pPr>
      <w:r w:rsidRPr="005865FE">
        <w:rPr>
          <w:lang w:val="es-ES"/>
        </w:rPr>
        <w:t xml:space="preserve">que contenga una lista de los tenedores de valores cuyos valores nuevos no estén sujetos a custodia de conformidad con el párrafo 6. </w:t>
      </w:r>
      <w:r w:rsidRPr="005865FE">
        <w:rPr>
          <w:lang w:val="es-ES"/>
        </w:rPr>
        <w:fldChar w:fldCharType="begin"/>
      </w:r>
      <w:r w:rsidRPr="005865FE">
        <w:rPr>
          <w:lang w:val="es-ES"/>
        </w:rPr>
        <w:instrText xml:space="preserve"> REF _Ref4840750 \w \h </w:instrText>
      </w:r>
      <w:r w:rsidRPr="005865FE">
        <w:rPr>
          <w:lang w:val="es-ES"/>
        </w:rPr>
      </w:r>
      <w:r w:rsidRPr="005865FE">
        <w:rPr>
          <w:lang w:val="es-ES"/>
        </w:rPr>
        <w:fldChar w:fldCharType="separate"/>
      </w:r>
      <w:r w:rsidRPr="005865FE">
        <w:rPr>
          <w:lang w:val="es-ES"/>
        </w:rPr>
        <w:t>5</w:t>
      </w:r>
      <w:r w:rsidRPr="005865FE">
        <w:rPr>
          <w:lang w:val="es-ES"/>
        </w:rPr>
        <w:fldChar w:fldCharType="end"/>
      </w:r>
      <w:r w:rsidRPr="005865FE">
        <w:rPr>
          <w:lang w:val="es-ES"/>
        </w:rPr>
        <w:t>;</w:t>
      </w:r>
    </w:p>
    <w:p w14:paraId="3C8431BC" w14:textId="77777777" w:rsidR="006913AC" w:rsidRPr="005865FE" w:rsidRDefault="00424954">
      <w:pPr>
        <w:pStyle w:val="NumA4"/>
        <w:rPr>
          <w:lang w:val="es-ES"/>
        </w:rPr>
      </w:pPr>
      <w:r w:rsidRPr="005865FE">
        <w:rPr>
          <w:lang w:val="es-ES"/>
        </w:rPr>
        <w:t xml:space="preserve">confirmación escrita de la Bolsa aceptando la lista de tenedores de valores cuyos valores nuevos no estén sujetos a custodia conforme al párrafo 6. </w:t>
      </w:r>
      <w:r w:rsidRPr="005865FE">
        <w:rPr>
          <w:lang w:val="es-ES"/>
        </w:rPr>
        <w:fldChar w:fldCharType="begin"/>
      </w:r>
      <w:r w:rsidRPr="005865FE">
        <w:rPr>
          <w:lang w:val="es-ES"/>
        </w:rPr>
        <w:instrText xml:space="preserve"> REF _Ref4840750 \w \h </w:instrText>
      </w:r>
      <w:r w:rsidRPr="005865FE">
        <w:rPr>
          <w:lang w:val="es-ES"/>
        </w:rPr>
      </w:r>
      <w:r w:rsidRPr="005865FE">
        <w:rPr>
          <w:lang w:val="es-ES"/>
        </w:rPr>
        <w:fldChar w:fldCharType="separate"/>
      </w:r>
      <w:r w:rsidRPr="005865FE">
        <w:rPr>
          <w:lang w:val="es-ES"/>
        </w:rPr>
        <w:t>5</w:t>
      </w:r>
      <w:r w:rsidRPr="005865FE">
        <w:rPr>
          <w:lang w:val="es-ES"/>
        </w:rPr>
        <w:fldChar w:fldCharType="end"/>
      </w:r>
      <w:r w:rsidRPr="005865FE">
        <w:rPr>
          <w:lang w:val="es-ES"/>
        </w:rPr>
        <w:t xml:space="preserve">; </w:t>
      </w:r>
    </w:p>
    <w:p w14:paraId="3674DC6E" w14:textId="77777777" w:rsidR="006913AC" w:rsidRPr="005865FE" w:rsidRDefault="00A77DD6">
      <w:pPr>
        <w:pStyle w:val="NumA3"/>
        <w:rPr>
          <w:lang w:val="es-ES"/>
        </w:rPr>
      </w:pPr>
      <w:r w:rsidRPr="005865FE">
        <w:rPr>
          <w:lang w:val="es-ES"/>
        </w:rPr>
        <w:t>Si sus valores nuevos están sujetos a custodia, el agente de custodia se compromete a mantener sus valores nuevos en custodia bajo los mismos términos y condiciones, que incluyen fechas de liberación, según se aplican a los valores en custodia que usted ha canjeado.</w:t>
      </w:r>
      <w:r w:rsidR="0009763C" w:rsidRPr="005865FE">
        <w:rPr>
          <w:lang w:val="es-ES"/>
        </w:rPr>
        <w:t xml:space="preserve"> </w:t>
      </w:r>
    </w:p>
    <w:p w14:paraId="3C39275A" w14:textId="77777777" w:rsidR="006913AC" w:rsidRPr="005865FE" w:rsidRDefault="004A7E52">
      <w:pPr>
        <w:pStyle w:val="NumA1"/>
        <w:rPr>
          <w:lang w:val="es-ES"/>
        </w:rPr>
      </w:pPr>
      <w:r w:rsidRPr="005865FE">
        <w:rPr>
          <w:lang w:val="es-ES"/>
        </w:rPr>
        <w:t>RENUNCIA DEL AGENTE DE CUSTODIA</w:t>
      </w:r>
    </w:p>
    <w:p w14:paraId="77A774CB" w14:textId="77777777" w:rsidR="006913AC" w:rsidRPr="005865FE" w:rsidRDefault="00C7214E">
      <w:pPr>
        <w:pStyle w:val="NumA2"/>
        <w:rPr>
          <w:lang w:val="es-ES"/>
        </w:rPr>
      </w:pPr>
      <w:r w:rsidRPr="005865FE">
        <w:rPr>
          <w:lang w:val="es-ES"/>
        </w:rPr>
        <w:t>Renuncia del agente de custodia</w:t>
      </w:r>
    </w:p>
    <w:p w14:paraId="6E388C6D" w14:textId="5374E736" w:rsidR="006913AC" w:rsidRPr="005865FE" w:rsidRDefault="00B65320">
      <w:pPr>
        <w:pStyle w:val="NumA3"/>
        <w:rPr>
          <w:lang w:val="es-ES"/>
        </w:rPr>
      </w:pPr>
      <w:r w:rsidRPr="005865FE">
        <w:rPr>
          <w:lang w:val="es-ES"/>
        </w:rPr>
        <w:t xml:space="preserve">Si el agente de custodia desea renunciar como agente de </w:t>
      </w:r>
      <w:r w:rsidR="009E6485" w:rsidRPr="005865FE">
        <w:rPr>
          <w:lang w:val="es-ES"/>
        </w:rPr>
        <w:t>custodia, deberá</w:t>
      </w:r>
      <w:r w:rsidRPr="005865FE">
        <w:rPr>
          <w:lang w:val="es-ES"/>
        </w:rPr>
        <w:t xml:space="preserve"> notificar por escrito al emisor y a la Bolsa.</w:t>
      </w:r>
    </w:p>
    <w:p w14:paraId="0A701508" w14:textId="77777777" w:rsidR="006913AC" w:rsidRPr="005865FE" w:rsidRDefault="00E471CA">
      <w:pPr>
        <w:pStyle w:val="NumA3"/>
        <w:rPr>
          <w:lang w:val="es-ES"/>
        </w:rPr>
      </w:pPr>
      <w:r w:rsidRPr="005865FE">
        <w:rPr>
          <w:lang w:val="es-ES"/>
        </w:rPr>
        <w:t>Si el emisor desea dar de baja al agente de custodia de sus funciones de agente de custodia, el emisor notificará por escrito al agente de custodia y a la Bolsa.</w:t>
      </w:r>
    </w:p>
    <w:p w14:paraId="08E388E2" w14:textId="08F2F1A8" w:rsidR="006913AC" w:rsidRPr="005865FE" w:rsidRDefault="002D69C7">
      <w:pPr>
        <w:pStyle w:val="NumA3"/>
        <w:rPr>
          <w:lang w:val="es-ES"/>
        </w:rPr>
      </w:pPr>
      <w:r w:rsidRPr="005865FE">
        <w:rPr>
          <w:lang w:val="es-ES"/>
        </w:rPr>
        <w:t>Si el agente de custodia renunciara o si se le diera de baja, el emisor será responsable de asegurar que el agente de custodia sea reemplazado en la misma fecha en que este último renuncie o sea dado de baja, por otro agente de custodia que la Bolsa acepte y que haya aceptado dicho nombramiento, el cual será vinculante para el emisor y los tenedores de valores.</w:t>
      </w:r>
    </w:p>
    <w:p w14:paraId="1C0709B0" w14:textId="0DEA2AA0" w:rsidR="006913AC" w:rsidRPr="005865FE" w:rsidRDefault="00E27FCC">
      <w:pPr>
        <w:pStyle w:val="NumA3"/>
        <w:rPr>
          <w:lang w:val="es-ES"/>
        </w:rPr>
      </w:pPr>
      <w:r w:rsidRPr="005865FE">
        <w:rPr>
          <w:lang w:val="es-ES"/>
        </w:rPr>
        <w:t xml:space="preserve">La renuncia o baja del agente de custodia será efectiva, y el agente de custodia dejará de estar obligado por el presente contrato, en la fecha que sea 60 días posteriores a la fecha de recepción de las notificaciones a las que se hace referencia anteriormente por parte del agente de custodia o emisor, según corresponda, o en otra fecha en que el agente de custodia y el emisor puedan acordar (la </w:t>
      </w:r>
      <w:r w:rsidR="00B24ABE">
        <w:rPr>
          <w:lang w:val="es-ES"/>
        </w:rPr>
        <w:t>“</w:t>
      </w:r>
      <w:r w:rsidRPr="005865FE">
        <w:rPr>
          <w:b/>
          <w:lang w:val="es-ES"/>
        </w:rPr>
        <w:t>fecha de renuncia o baja</w:t>
      </w:r>
      <w:r w:rsidR="00B24ABE">
        <w:rPr>
          <w:lang w:val="es-ES"/>
        </w:rPr>
        <w:t>”</w:t>
      </w:r>
      <w:r w:rsidRPr="005865FE">
        <w:rPr>
          <w:lang w:val="es-ES"/>
        </w:rPr>
        <w:t>), siempre que la fecha de renuncia o baja no sea de menos de 10 días hábiles antes de la fecha de liberación.</w:t>
      </w:r>
    </w:p>
    <w:p w14:paraId="550B78A2" w14:textId="78A0E9B8" w:rsidR="006913AC" w:rsidRPr="005865FE" w:rsidRDefault="00D82DB5">
      <w:pPr>
        <w:pStyle w:val="NumA3"/>
        <w:rPr>
          <w:lang w:val="es-ES"/>
        </w:rPr>
      </w:pPr>
      <w:r w:rsidRPr="005865FE">
        <w:rPr>
          <w:lang w:val="es-ES"/>
        </w:rPr>
        <w:t>Si el emisor no ha designado un agente de custodia sucesor dentro de los 60 días de la fecha de renuncia o baja, el agente de custodia solicitará, a costa del emisor, a un tribunal competente, la designación de un agente de custodia sucesor, y las obligaciones y responsabilidades del agente de custodia cesarán inmediatamente en el momento de dicha designación.</w:t>
      </w:r>
    </w:p>
    <w:p w14:paraId="341FB492" w14:textId="0D25A516" w:rsidR="006913AC" w:rsidRPr="005865FE" w:rsidRDefault="00EE567F">
      <w:pPr>
        <w:pStyle w:val="NumA3"/>
        <w:rPr>
          <w:lang w:val="es-ES"/>
        </w:rPr>
      </w:pPr>
      <w:r w:rsidRPr="005865FE">
        <w:rPr>
          <w:lang w:val="es-ES"/>
        </w:rPr>
        <w:t>En cualquier nuevo nombramiento conforme a la presente parte, al sucesor del agente de custodia se le darán las mismas facultades, derechos y obligaciones que hubiera tenido si se lo hubiera nombrado agente de custodia originariamente en el presente, sin ningún otro tipo de garantía, cesión, acto o escritura.</w:t>
      </w:r>
      <w:r w:rsidR="004A7E52" w:rsidRPr="005865FE">
        <w:rPr>
          <w:lang w:val="es-ES"/>
        </w:rPr>
        <w:t xml:space="preserve"> </w:t>
      </w:r>
      <w:r w:rsidR="00A54356" w:rsidRPr="005865FE">
        <w:rPr>
          <w:lang w:val="es-ES"/>
        </w:rPr>
        <w:t>Al recibir el pago de cualquier cuenta pendiente por sus servicios y gastos impagos, el agente de custodia predecesor transferirá, entregará y pagará al agente de custodia sucesor, que tendrá el derecho de recibir todas las garantías, registros u otros bienes depositados con el agente de custodia predecesor en relación con el presente contrato. A partir de ese momento, el agente de custodia predecesor será dado de baja como agente de custodia.</w:t>
      </w:r>
    </w:p>
    <w:p w14:paraId="3F5F1716" w14:textId="79CCD483" w:rsidR="006913AC" w:rsidRPr="005865FE" w:rsidRDefault="00A649EE">
      <w:pPr>
        <w:pStyle w:val="NumA3"/>
        <w:rPr>
          <w:lang w:val="es-ES"/>
        </w:rPr>
      </w:pPr>
      <w:r w:rsidRPr="005865FE">
        <w:rPr>
          <w:lang w:val="es-ES"/>
        </w:rPr>
        <w:t xml:space="preserve">Si se realizara algún cambio a la </w:t>
      </w:r>
      <w:r w:rsidRPr="005865FE">
        <w:rPr>
          <w:lang w:val="es-ES"/>
        </w:rPr>
        <w:fldChar w:fldCharType="begin"/>
      </w:r>
      <w:r w:rsidRPr="005865FE">
        <w:rPr>
          <w:lang w:val="es-ES"/>
        </w:rPr>
        <w:instrText xml:space="preserve"> REF _Ref19543642 \r \h </w:instrText>
      </w:r>
      <w:r w:rsidRPr="005865FE">
        <w:rPr>
          <w:lang w:val="es-ES"/>
        </w:rPr>
      </w:r>
      <w:r w:rsidRPr="005865FE">
        <w:rPr>
          <w:lang w:val="es-ES"/>
        </w:rPr>
        <w:fldChar w:fldCharType="separate"/>
      </w:r>
      <w:r w:rsidRPr="005865FE">
        <w:rPr>
          <w:lang w:val="es-ES"/>
        </w:rPr>
        <w:t>parte</w:t>
      </w:r>
      <w:r w:rsidRPr="005865FE">
        <w:rPr>
          <w:lang w:val="es-ES"/>
        </w:rPr>
        <w:fldChar w:fldCharType="end"/>
      </w:r>
      <w:r w:rsidRPr="005865FE">
        <w:rPr>
          <w:lang w:val="es-ES"/>
        </w:rPr>
        <w:t xml:space="preserve"> 8 del presente contrato como resultado del nombramiento del agente de custodia sucesor, esos cambios no deberán ser inconsistentes con la Política y los términos del presente. El emisor </w:t>
      </w:r>
      <w:r w:rsidRPr="009F73CA">
        <w:rPr>
          <w:lang w:val="es-ES"/>
        </w:rPr>
        <w:t xml:space="preserve">contemplado en </w:t>
      </w:r>
      <w:r w:rsidR="00174BE0">
        <w:rPr>
          <w:lang w:val="es-ES"/>
        </w:rPr>
        <w:t>el presente contrato</w:t>
      </w:r>
      <w:r w:rsidRPr="005865FE">
        <w:rPr>
          <w:lang w:val="es-ES"/>
        </w:rPr>
        <w:t xml:space="preserve"> deberá presentar un ejemplar del nuevo contrato ante los reguladores de valores competentes.</w:t>
      </w:r>
      <w:r w:rsidR="00FB6ECD">
        <w:rPr>
          <w:lang w:val="es-ES"/>
        </w:rPr>
        <w:t xml:space="preserve"> </w:t>
      </w:r>
    </w:p>
    <w:p w14:paraId="3E057CDC" w14:textId="77777777" w:rsidR="006913AC" w:rsidRPr="005865FE" w:rsidRDefault="004A7E52">
      <w:pPr>
        <w:pStyle w:val="NumA1"/>
        <w:rPr>
          <w:lang w:val="es-ES"/>
        </w:rPr>
      </w:pPr>
      <w:bookmarkStart w:id="6" w:name="_Ref19543642"/>
      <w:r w:rsidRPr="005865FE">
        <w:rPr>
          <w:lang w:val="es-ES"/>
        </w:rPr>
        <w:t>OTROS ACUERDOS CONTRACTUALES</w:t>
      </w:r>
      <w:bookmarkEnd w:id="6"/>
    </w:p>
    <w:p w14:paraId="7393E3E7" w14:textId="55B7DDAE" w:rsidR="006913AC" w:rsidRPr="005865FE" w:rsidRDefault="0059625A">
      <w:pPr>
        <w:pStyle w:val="NumAext2"/>
        <w:rPr>
          <w:lang w:val="es-ES"/>
        </w:rPr>
      </w:pPr>
      <w:r w:rsidRPr="005865FE">
        <w:rPr>
          <w:lang w:val="es-ES"/>
        </w:rPr>
        <w:t xml:space="preserve">[Usted puede insertar aquí todo otro acuerdo contractual que las partes del presente deseen proveer para que regulen las responsabilidades, remuneración, obligaciones e indemnidades por las obligaciones del agente de custodia o cualquier otro asunto que las partes deseen incluir en </w:t>
      </w:r>
      <w:r w:rsidR="00174BE0">
        <w:rPr>
          <w:lang w:val="es-ES"/>
        </w:rPr>
        <w:t>el presente contrato</w:t>
      </w:r>
      <w:r w:rsidRPr="005865FE">
        <w:rPr>
          <w:lang w:val="es-ES"/>
        </w:rPr>
        <w:t xml:space="preserve"> siempre que las cláusulas no sean </w:t>
      </w:r>
      <w:r w:rsidRPr="006B086B">
        <w:rPr>
          <w:lang w:val="es-ES"/>
        </w:rPr>
        <w:t>inco</w:t>
      </w:r>
      <w:r w:rsidR="006B086B" w:rsidRPr="006B086B">
        <w:rPr>
          <w:lang w:val="es-ES"/>
        </w:rPr>
        <w:t>mpatible</w:t>
      </w:r>
      <w:r w:rsidRPr="006B086B">
        <w:rPr>
          <w:lang w:val="es-ES"/>
        </w:rPr>
        <w:t xml:space="preserve">s </w:t>
      </w:r>
      <w:r w:rsidRPr="005865FE">
        <w:rPr>
          <w:lang w:val="es-ES"/>
        </w:rPr>
        <w:t>con la Política y los términos del presente].</w:t>
      </w:r>
    </w:p>
    <w:p w14:paraId="0B9B08E9" w14:textId="20F5382E" w:rsidR="006913AC" w:rsidRPr="005865FE" w:rsidRDefault="004A7E52">
      <w:pPr>
        <w:pStyle w:val="NumA1"/>
        <w:rPr>
          <w:lang w:val="es-ES"/>
        </w:rPr>
      </w:pPr>
      <w:r w:rsidRPr="005865FE">
        <w:rPr>
          <w:lang w:val="es-ES"/>
        </w:rPr>
        <w:t>INDEMNIZACIÓN DE LA BOLSA</w:t>
      </w:r>
    </w:p>
    <w:p w14:paraId="55B18D03" w14:textId="77777777" w:rsidR="006913AC" w:rsidRPr="005865FE" w:rsidRDefault="004A7E52">
      <w:pPr>
        <w:pStyle w:val="NumA2"/>
        <w:rPr>
          <w:lang w:val="es-ES"/>
        </w:rPr>
      </w:pPr>
      <w:bookmarkStart w:id="7" w:name="_Ref4840899"/>
      <w:r w:rsidRPr="005865FE">
        <w:rPr>
          <w:lang w:val="es-ES"/>
        </w:rPr>
        <w:t>Indemnización</w:t>
      </w:r>
      <w:bookmarkEnd w:id="7"/>
    </w:p>
    <w:p w14:paraId="177B990A" w14:textId="5305B17F" w:rsidR="006913AC" w:rsidRPr="005865FE" w:rsidRDefault="00291213">
      <w:pPr>
        <w:pStyle w:val="NumA3"/>
        <w:rPr>
          <w:lang w:val="es-ES"/>
        </w:rPr>
      </w:pPr>
      <w:r w:rsidRPr="005865FE">
        <w:rPr>
          <w:lang w:val="es-ES"/>
        </w:rPr>
        <w:t>El emisor y cada tenedor de valores en forma conjunta y solidaria:</w:t>
      </w:r>
    </w:p>
    <w:p w14:paraId="7BAACC27" w14:textId="38F1C685" w:rsidR="006913AC" w:rsidRPr="005865FE" w:rsidRDefault="00C97978">
      <w:pPr>
        <w:pStyle w:val="NumA4"/>
        <w:rPr>
          <w:lang w:val="es-ES"/>
        </w:rPr>
      </w:pPr>
      <w:r w:rsidRPr="005865FE">
        <w:rPr>
          <w:lang w:val="es-ES"/>
        </w:rPr>
        <w:t>liberan, indemnizan y mantienen indemne a la Bolsa de todos los costos (que incluyen costas legales, expensas y desembolsos), cargos, reclamos, demandas, daños, responsabilidades, pérdidas y gastos en los que incurra la Bolsa;</w:t>
      </w:r>
    </w:p>
    <w:p w14:paraId="6266E4DC" w14:textId="6E1B1048" w:rsidR="006913AC" w:rsidRPr="005865FE" w:rsidRDefault="00F9164D">
      <w:pPr>
        <w:pStyle w:val="NumA4"/>
        <w:rPr>
          <w:lang w:val="es-ES"/>
        </w:rPr>
      </w:pPr>
      <w:r w:rsidRPr="005865FE">
        <w:rPr>
          <w:lang w:val="es-ES"/>
        </w:rPr>
        <w:t>acuerdan no hacer o presentar un reclamo o demanda, ni iniciar una acción contra la Bolsa;</w:t>
      </w:r>
    </w:p>
    <w:p w14:paraId="2066ACF5" w14:textId="77777777" w:rsidR="006913AC" w:rsidRPr="005865FE" w:rsidRDefault="004A7E52">
      <w:pPr>
        <w:pStyle w:val="NumA4"/>
        <w:rPr>
          <w:lang w:val="es-ES"/>
        </w:rPr>
      </w:pPr>
      <w:r w:rsidRPr="005865FE">
        <w:rPr>
          <w:lang w:val="es-ES"/>
        </w:rPr>
        <w:t>acuerdan indemnizar y mantener indemne a la Bolsa de todos los costos (que incluyen costas legales) y daños en que la Bolsa incurra o que sean exigidos por ley a abonar como resultado de alguna demanda, reclamo o acción de alguna persona,</w:t>
      </w:r>
    </w:p>
    <w:p w14:paraId="1E05EF19" w14:textId="2F1434D1" w:rsidR="006913AC" w:rsidRPr="005865FE" w:rsidRDefault="00523DBF">
      <w:pPr>
        <w:pStyle w:val="NumAext3"/>
        <w:rPr>
          <w:lang w:val="es-ES"/>
        </w:rPr>
      </w:pPr>
      <w:r w:rsidRPr="005865FE">
        <w:rPr>
          <w:lang w:val="es-ES"/>
        </w:rPr>
        <w:t xml:space="preserve">que surja de todos y de cada uno de los actos u omisiones cometidos u omitidos por la Bolsa, en relación con </w:t>
      </w:r>
      <w:r w:rsidR="00174BE0">
        <w:rPr>
          <w:lang w:val="es-ES"/>
        </w:rPr>
        <w:t>el presente contrato</w:t>
      </w:r>
      <w:r w:rsidRPr="005865FE">
        <w:rPr>
          <w:lang w:val="es-ES"/>
        </w:rPr>
        <w:t>, incluso si dicho acto u omisión fue una negligencia o constituyó una violación de los términos del presente contrato.</w:t>
      </w:r>
    </w:p>
    <w:p w14:paraId="64B25F7B" w14:textId="7D0224C0" w:rsidR="006913AC" w:rsidRPr="005865FE" w:rsidRDefault="00585BD7">
      <w:pPr>
        <w:pStyle w:val="NumA3"/>
        <w:rPr>
          <w:lang w:val="es-ES"/>
        </w:rPr>
      </w:pPr>
      <w:r w:rsidRPr="005865FE">
        <w:rPr>
          <w:lang w:val="es-ES"/>
        </w:rPr>
        <w:t>Esta indemnidad continuará vigente con posterioridad a la liberación de los valores en custodia y la rescisión de</w:t>
      </w:r>
      <w:r w:rsidR="00174BE0">
        <w:rPr>
          <w:lang w:val="es-ES"/>
        </w:rPr>
        <w:t xml:space="preserve">l presente </w:t>
      </w:r>
      <w:r w:rsidRPr="005865FE">
        <w:rPr>
          <w:lang w:val="es-ES"/>
        </w:rPr>
        <w:t>contrato.</w:t>
      </w:r>
    </w:p>
    <w:p w14:paraId="2A05E3E0" w14:textId="77777777" w:rsidR="006913AC" w:rsidRPr="005865FE" w:rsidRDefault="004A7E52">
      <w:pPr>
        <w:pStyle w:val="NumA1"/>
        <w:rPr>
          <w:lang w:val="es-ES"/>
        </w:rPr>
      </w:pPr>
      <w:r w:rsidRPr="005865FE">
        <w:rPr>
          <w:lang w:val="es-ES"/>
        </w:rPr>
        <w:t>NOTIFICACIONES</w:t>
      </w:r>
    </w:p>
    <w:p w14:paraId="3F03DB52" w14:textId="5D54E474" w:rsidR="006913AC" w:rsidRPr="005865FE" w:rsidRDefault="005831A5">
      <w:pPr>
        <w:pStyle w:val="NumA2"/>
        <w:rPr>
          <w:lang w:val="es-ES"/>
        </w:rPr>
      </w:pPr>
      <w:r w:rsidRPr="005865FE">
        <w:rPr>
          <w:lang w:val="es-ES"/>
        </w:rPr>
        <w:t>Notificación al agente de custodia</w:t>
      </w:r>
    </w:p>
    <w:p w14:paraId="1201B58E" w14:textId="4EF921A1" w:rsidR="006913AC" w:rsidRPr="00A27A53" w:rsidRDefault="00095ED3">
      <w:pPr>
        <w:pStyle w:val="NumAext2"/>
        <w:rPr>
          <w:lang w:val="es-ES"/>
        </w:rPr>
      </w:pPr>
      <w:r w:rsidRPr="005865FE">
        <w:rPr>
          <w:lang w:val="es-ES"/>
        </w:rPr>
        <w:t>Se considerará que los documentos han sido enviados al agente de custodia el día laboral siguiente a la fecha de la transmisión, si se enviaron por fax</w:t>
      </w:r>
      <w:r w:rsidRPr="00A27A53">
        <w:rPr>
          <w:lang w:val="es-ES"/>
        </w:rPr>
        <w:t>, la fecha de en</w:t>
      </w:r>
      <w:r w:rsidR="001F637D" w:rsidRPr="00A27A53">
        <w:rPr>
          <w:lang w:val="es-ES"/>
        </w:rPr>
        <w:t>trega</w:t>
      </w:r>
      <w:r w:rsidRPr="00A27A53">
        <w:rPr>
          <w:lang w:val="es-ES"/>
        </w:rPr>
        <w:t>, si se entregaron en mano o mediante correo privado prepagado, o 5 días hábiles posteriores a la fecha de envío, si se enviaron por correo, a la siguiente dirección:</w:t>
      </w:r>
    </w:p>
    <w:p w14:paraId="669EB71D" w14:textId="77777777" w:rsidR="00131D20" w:rsidRPr="00A27A53" w:rsidRDefault="004A7E52" w:rsidP="00131D20">
      <w:pPr>
        <w:pStyle w:val="NumAext2"/>
        <w:rPr>
          <w:lang w:val="es-ES"/>
        </w:rPr>
      </w:pPr>
      <w:r w:rsidRPr="00A27A53">
        <w:rPr>
          <w:lang w:val="es-ES"/>
        </w:rPr>
        <w:t>[Nombre, domicilio, contacto, número de fax]</w:t>
      </w:r>
    </w:p>
    <w:p w14:paraId="71E3CC04" w14:textId="17B1232A" w:rsidR="006913AC" w:rsidRPr="00A27A53" w:rsidRDefault="00860D28">
      <w:pPr>
        <w:pStyle w:val="NumA2"/>
        <w:rPr>
          <w:color w:val="000000" w:themeColor="text1"/>
          <w:lang w:val="es-ES"/>
        </w:rPr>
      </w:pPr>
      <w:r w:rsidRPr="00A27A53">
        <w:rPr>
          <w:color w:val="000000" w:themeColor="text1"/>
          <w:lang w:val="es-ES"/>
        </w:rPr>
        <w:t>Notificación al emisor</w:t>
      </w:r>
    </w:p>
    <w:p w14:paraId="4B16B8A7" w14:textId="14A9B79C" w:rsidR="006913AC" w:rsidRPr="00A27A53" w:rsidRDefault="001B7CB9">
      <w:pPr>
        <w:pStyle w:val="NumAext2"/>
        <w:rPr>
          <w:lang w:val="es-ES"/>
        </w:rPr>
      </w:pPr>
      <w:r w:rsidRPr="00A27A53">
        <w:rPr>
          <w:lang w:val="es-ES"/>
        </w:rPr>
        <w:t>Se considerará que los documentos han sido enviados al emisor el día hábil siguiente a la fecha de la transmisión, si se enviaron por fax, la fecha de en</w:t>
      </w:r>
      <w:r w:rsidR="001F637D" w:rsidRPr="00A27A53">
        <w:rPr>
          <w:lang w:val="es-ES"/>
        </w:rPr>
        <w:t>trega</w:t>
      </w:r>
      <w:r w:rsidRPr="00A27A53">
        <w:rPr>
          <w:lang w:val="es-ES"/>
        </w:rPr>
        <w:t>, si se entregaron en mano durante las horas habituales de trabajo o mediante correo privado prepagado, o 5 días hábiles posteriores a la fecha de envío, si se entregaron por correo, a la siguiente dirección:</w:t>
      </w:r>
    </w:p>
    <w:p w14:paraId="41B6BA9B" w14:textId="77777777" w:rsidR="00844271" w:rsidRPr="00A27A53" w:rsidRDefault="004A7E52" w:rsidP="00844271">
      <w:pPr>
        <w:pStyle w:val="NumAext2"/>
        <w:rPr>
          <w:lang w:val="es-ES"/>
        </w:rPr>
      </w:pPr>
      <w:r w:rsidRPr="00A27A53">
        <w:rPr>
          <w:lang w:val="es-ES"/>
        </w:rPr>
        <w:t xml:space="preserve">[Nombre, domicilio, contacto, número de fax] </w:t>
      </w:r>
    </w:p>
    <w:p w14:paraId="1A21A148" w14:textId="1D2A80CD" w:rsidR="006913AC" w:rsidRPr="00A27A53" w:rsidRDefault="001A4274">
      <w:pPr>
        <w:pStyle w:val="NumA2"/>
        <w:rPr>
          <w:color w:val="000000" w:themeColor="text1"/>
          <w:lang w:val="es-ES"/>
        </w:rPr>
      </w:pPr>
      <w:r w:rsidRPr="00A27A53">
        <w:rPr>
          <w:color w:val="000000" w:themeColor="text1"/>
          <w:lang w:val="es-ES"/>
        </w:rPr>
        <w:t>Entregas de documentos a tenedores de valores</w:t>
      </w:r>
    </w:p>
    <w:p w14:paraId="1734F9E3" w14:textId="6CF0FAC2" w:rsidR="006913AC" w:rsidRPr="005865FE" w:rsidRDefault="00A8366E">
      <w:pPr>
        <w:pStyle w:val="NumAext2"/>
        <w:rPr>
          <w:lang w:val="es-ES"/>
        </w:rPr>
      </w:pPr>
      <w:r w:rsidRPr="00A27A53">
        <w:rPr>
          <w:lang w:val="es-ES"/>
        </w:rPr>
        <w:t xml:space="preserve">Se considerará que los documentos han sido entregados a un tenedor de valores en la fecha de entrega si fueron entregados en mano o mediante un correo </w:t>
      </w:r>
      <w:r w:rsidRPr="005865FE">
        <w:rPr>
          <w:lang w:val="es-ES"/>
        </w:rPr>
        <w:t>privado prepagado, o 5 días hábiles posteriores a la fecha de envío, si se entregaron por correo, a las direcciones que figuran en el registro de acciones del emisor.</w:t>
      </w:r>
    </w:p>
    <w:p w14:paraId="66632BD1" w14:textId="28B72391" w:rsidR="006913AC" w:rsidRPr="005865FE" w:rsidRDefault="005F6646">
      <w:pPr>
        <w:pStyle w:val="NumAext2"/>
        <w:rPr>
          <w:lang w:val="es-ES"/>
        </w:rPr>
      </w:pPr>
      <w:r w:rsidRPr="005865FE">
        <w:rPr>
          <w:lang w:val="es-ES"/>
        </w:rPr>
        <w:t>A menos que un tenedor de valores no le instruya por escrito al menos diez días hábiles antes de que los valores en custodia sean liberados, el agente de custodia enviará todos los certificados u otros comprobantes de los valores en custodia al domicilio del tenedor de valores que figura en el registro de acciones del emisor.</w:t>
      </w:r>
      <w:r w:rsidR="00CD02A4">
        <w:rPr>
          <w:lang w:val="es-ES"/>
        </w:rPr>
        <w:t xml:space="preserve"> </w:t>
      </w:r>
      <w:r w:rsidR="00C062C0" w:rsidRPr="005865FE">
        <w:rPr>
          <w:lang w:val="es-ES"/>
        </w:rPr>
        <w:t>El emisor proveerá al agente de custodia los domicilios de cada tenedor de valores según figuran en el registro de acciones del emisor.</w:t>
      </w:r>
    </w:p>
    <w:p w14:paraId="0594CD2B" w14:textId="77777777" w:rsidR="006913AC" w:rsidRPr="005865FE" w:rsidRDefault="004A7E52">
      <w:pPr>
        <w:pStyle w:val="NumA2"/>
        <w:rPr>
          <w:lang w:val="es-ES"/>
        </w:rPr>
      </w:pPr>
      <w:r w:rsidRPr="005865FE">
        <w:rPr>
          <w:lang w:val="es-ES"/>
        </w:rPr>
        <w:t>Cambio de domicilio</w:t>
      </w:r>
    </w:p>
    <w:p w14:paraId="388F8EBD" w14:textId="551FE7DB" w:rsidR="006913AC" w:rsidRPr="005865FE" w:rsidRDefault="006A7024">
      <w:pPr>
        <w:pStyle w:val="NumA3"/>
        <w:rPr>
          <w:lang w:val="es-ES"/>
        </w:rPr>
      </w:pPr>
      <w:r w:rsidRPr="005865FE">
        <w:rPr>
          <w:lang w:val="es-ES"/>
        </w:rPr>
        <w:t>El agente de custodia podrá cambiar su domicilio a los fines de la entrega mediante notificación del cambio de domicilio al emisor y a cada tenedor de valores.</w:t>
      </w:r>
    </w:p>
    <w:p w14:paraId="7663B143" w14:textId="4F7AC58E" w:rsidR="006913AC" w:rsidRPr="005865FE" w:rsidRDefault="00CC6947">
      <w:pPr>
        <w:pStyle w:val="NumA3"/>
        <w:rPr>
          <w:lang w:val="es-ES"/>
        </w:rPr>
      </w:pPr>
      <w:r w:rsidRPr="005865FE">
        <w:rPr>
          <w:lang w:val="es-ES"/>
        </w:rPr>
        <w:t>El emisor podrá cambiar su domicilio a los fines de la entrega mediante notificación del cambio de domicilio por escrito al agente de custodia y a cada tenedor de valores.</w:t>
      </w:r>
    </w:p>
    <w:p w14:paraId="699457EA" w14:textId="51D7DE97" w:rsidR="006913AC" w:rsidRPr="005865FE" w:rsidRDefault="00A43E4F">
      <w:pPr>
        <w:pStyle w:val="NumA3"/>
        <w:rPr>
          <w:lang w:val="es-ES"/>
        </w:rPr>
      </w:pPr>
      <w:r w:rsidRPr="005865FE">
        <w:rPr>
          <w:lang w:val="es-ES"/>
        </w:rPr>
        <w:t>Un tenedor de valores podrá cambiar su domicilio a los fines de la entrega mediante notificación del cambio de domicilio al emisor y al agente de custodia.</w:t>
      </w:r>
    </w:p>
    <w:p w14:paraId="7AFDA085" w14:textId="5631C2C8" w:rsidR="006913AC" w:rsidRPr="005865FE" w:rsidRDefault="003A4296">
      <w:pPr>
        <w:pStyle w:val="NumA2"/>
        <w:rPr>
          <w:lang w:val="es-ES"/>
        </w:rPr>
      </w:pPr>
      <w:r w:rsidRPr="005865FE">
        <w:rPr>
          <w:lang w:val="es-ES"/>
        </w:rPr>
        <w:t>Interrupción del servicio postal</w:t>
      </w:r>
    </w:p>
    <w:p w14:paraId="6F03F976" w14:textId="32216BF6" w:rsidR="006913AC" w:rsidRPr="005865FE" w:rsidRDefault="009F6FD0">
      <w:pPr>
        <w:pStyle w:val="NumAext2"/>
        <w:rPr>
          <w:lang w:val="es-ES"/>
        </w:rPr>
      </w:pPr>
      <w:r w:rsidRPr="005865FE">
        <w:rPr>
          <w:lang w:val="es-ES"/>
        </w:rPr>
        <w:t>Las partes del presente contrato no enviarán por correo documentos si la</w:t>
      </w:r>
      <w:r w:rsidR="00F97C1C">
        <w:rPr>
          <w:lang w:val="es-ES"/>
        </w:rPr>
        <w:t>s</w:t>
      </w:r>
      <w:r w:rsidRPr="005865FE">
        <w:rPr>
          <w:lang w:val="es-ES"/>
        </w:rPr>
        <w:t xml:space="preserve"> parte</w:t>
      </w:r>
      <w:r w:rsidR="00F97C1C">
        <w:rPr>
          <w:lang w:val="es-ES"/>
        </w:rPr>
        <w:t>s</w:t>
      </w:r>
      <w:r w:rsidRPr="005865FE">
        <w:rPr>
          <w:lang w:val="es-ES"/>
        </w:rPr>
        <w:t xml:space="preserve"> tienen conocimiento de alguna interrupción presente o inminente del servicio postal.</w:t>
      </w:r>
    </w:p>
    <w:p w14:paraId="06861A7C" w14:textId="77777777" w:rsidR="006913AC" w:rsidRPr="005865FE" w:rsidRDefault="004A7E52">
      <w:pPr>
        <w:pStyle w:val="NumA1"/>
        <w:rPr>
          <w:lang w:val="es-ES"/>
        </w:rPr>
      </w:pPr>
      <w:r w:rsidRPr="005865FE">
        <w:rPr>
          <w:lang w:val="es-ES"/>
        </w:rPr>
        <w:t>ESTIPULACIONES GENERALES</w:t>
      </w:r>
    </w:p>
    <w:p w14:paraId="61B2A8D6" w14:textId="77777777" w:rsidR="006913AC" w:rsidRPr="005865FE" w:rsidRDefault="004A7E52">
      <w:pPr>
        <w:pStyle w:val="NumA2"/>
        <w:rPr>
          <w:lang w:val="es-ES"/>
        </w:rPr>
      </w:pPr>
      <w:r w:rsidRPr="005865FE">
        <w:rPr>
          <w:lang w:val="es-ES"/>
        </w:rPr>
        <w:t>Interpretación de “tenencia de valores”</w:t>
      </w:r>
    </w:p>
    <w:p w14:paraId="1E0416E0" w14:textId="1011F15F" w:rsidR="006913AC" w:rsidRPr="005865FE" w:rsidRDefault="00452086">
      <w:pPr>
        <w:pStyle w:val="NumAext2"/>
        <w:rPr>
          <w:lang w:val="es-ES"/>
        </w:rPr>
      </w:pPr>
      <w:r w:rsidRPr="005865FE">
        <w:rPr>
          <w:iCs/>
          <w:lang w:val="es-ES"/>
        </w:rPr>
        <w:t>A menos que el contexto exija una interpretación diferente, todos los términos claves que no estén definidos de otro modo en el presente contrato, tendrán los significados definidos en la Política 1.1</w:t>
      </w:r>
      <w:r w:rsidR="009E6485">
        <w:rPr>
          <w:iCs/>
          <w:lang w:val="es-ES"/>
        </w:rPr>
        <w:t xml:space="preserve"> </w:t>
      </w:r>
      <w:r w:rsidRPr="005865FE">
        <w:rPr>
          <w:iCs/>
          <w:lang w:val="es-ES"/>
        </w:rPr>
        <w:t xml:space="preserve">– </w:t>
      </w:r>
      <w:r w:rsidRPr="005865FE">
        <w:rPr>
          <w:i/>
          <w:iCs/>
          <w:lang w:val="es-ES"/>
        </w:rPr>
        <w:t>Interpretación</w:t>
      </w:r>
      <w:r w:rsidRPr="005865FE">
        <w:rPr>
          <w:iCs/>
          <w:lang w:val="es-ES"/>
        </w:rPr>
        <w:t xml:space="preserve">, </w:t>
      </w:r>
      <w:r w:rsidR="00EE73F7">
        <w:rPr>
          <w:iCs/>
          <w:lang w:val="es-ES"/>
        </w:rPr>
        <w:t xml:space="preserve">en </w:t>
      </w:r>
      <w:r w:rsidRPr="005865FE">
        <w:rPr>
          <w:iCs/>
          <w:lang w:val="es-ES"/>
        </w:rPr>
        <w:t xml:space="preserve">la Política 2.4 – </w:t>
      </w:r>
      <w:r w:rsidRPr="005865FE">
        <w:rPr>
          <w:i/>
          <w:iCs/>
          <w:lang w:val="es-ES"/>
        </w:rPr>
        <w:t>Sociedades de Capital Generador</w:t>
      </w:r>
      <w:r w:rsidRPr="005865FE">
        <w:rPr>
          <w:iCs/>
          <w:lang w:val="es-ES"/>
        </w:rPr>
        <w:t xml:space="preserve"> o en la Política 5.4 – </w:t>
      </w:r>
      <w:r w:rsidRPr="005865FE">
        <w:rPr>
          <w:i/>
          <w:iCs/>
          <w:lang w:val="es-ES"/>
        </w:rPr>
        <w:t>Custodia, Contraprestación del Vendedor y Restricciones a la Reventa</w:t>
      </w:r>
      <w:r w:rsidRPr="005865FE">
        <w:rPr>
          <w:iCs/>
          <w:lang w:val="es-ES"/>
        </w:rPr>
        <w:t>.</w:t>
      </w:r>
    </w:p>
    <w:p w14:paraId="1DEE4FE4" w14:textId="1567AFC1" w:rsidR="006913AC" w:rsidRPr="005865FE" w:rsidRDefault="009C55A6">
      <w:pPr>
        <w:pStyle w:val="NumAext2"/>
        <w:rPr>
          <w:lang w:val="es-ES"/>
        </w:rPr>
      </w:pPr>
      <w:r w:rsidRPr="005865FE">
        <w:rPr>
          <w:lang w:val="es-ES"/>
        </w:rPr>
        <w:t xml:space="preserve">De conformidad con los términos del presente contrato, un tenedor de valores </w:t>
      </w:r>
      <w:r w:rsidR="00F77E08">
        <w:rPr>
          <w:lang w:val="es-ES"/>
        </w:rPr>
        <w:t xml:space="preserve">es </w:t>
      </w:r>
      <w:r w:rsidR="00B92942">
        <w:rPr>
          <w:lang w:val="es-ES"/>
        </w:rPr>
        <w:t>“</w:t>
      </w:r>
      <w:r w:rsidRPr="005865FE">
        <w:rPr>
          <w:lang w:val="es-ES"/>
        </w:rPr>
        <w:t>t</w:t>
      </w:r>
      <w:r w:rsidR="00F77E08">
        <w:rPr>
          <w:lang w:val="es-ES"/>
        </w:rPr>
        <w:t>enedor</w:t>
      </w:r>
      <w:r w:rsidR="00B92942">
        <w:rPr>
          <w:lang w:val="es-ES"/>
        </w:rPr>
        <w:t>”</w:t>
      </w:r>
      <w:r w:rsidRPr="005865FE">
        <w:rPr>
          <w:lang w:val="es-ES"/>
        </w:rPr>
        <w:t xml:space="preserve"> </w:t>
      </w:r>
      <w:r w:rsidR="00F77E08">
        <w:rPr>
          <w:lang w:val="es-ES"/>
        </w:rPr>
        <w:t xml:space="preserve">porque tiene </w:t>
      </w:r>
      <w:r w:rsidRPr="005865FE">
        <w:rPr>
          <w:lang w:val="es-ES"/>
        </w:rPr>
        <w:t xml:space="preserve">la titularidad </w:t>
      </w:r>
      <w:r w:rsidR="00F77E08">
        <w:rPr>
          <w:lang w:val="es-ES"/>
        </w:rPr>
        <w:t>beneficiaria</w:t>
      </w:r>
      <w:r w:rsidRPr="005865FE">
        <w:rPr>
          <w:lang w:val="es-ES"/>
        </w:rPr>
        <w:t>, directa o indirectamente o ejerce el control o la dirección</w:t>
      </w:r>
      <w:r w:rsidR="00F77E08">
        <w:rPr>
          <w:lang w:val="es-ES"/>
        </w:rPr>
        <w:t xml:space="preserve"> sobre estos</w:t>
      </w:r>
      <w:r w:rsidRPr="005865FE">
        <w:rPr>
          <w:lang w:val="es-ES"/>
        </w:rPr>
        <w:t>.</w:t>
      </w:r>
    </w:p>
    <w:p w14:paraId="5A7BA05D" w14:textId="77777777" w:rsidR="006913AC" w:rsidRPr="005865FE" w:rsidRDefault="004A7E52">
      <w:pPr>
        <w:pStyle w:val="NumA2"/>
        <w:rPr>
          <w:lang w:val="es-ES"/>
        </w:rPr>
      </w:pPr>
      <w:r w:rsidRPr="005865FE">
        <w:rPr>
          <w:lang w:val="es-ES"/>
        </w:rPr>
        <w:t>Exigibilidad por parte de terceros</w:t>
      </w:r>
    </w:p>
    <w:p w14:paraId="53C3F503" w14:textId="45F1FF63" w:rsidR="006913AC" w:rsidRPr="005865FE" w:rsidRDefault="00C65B98">
      <w:pPr>
        <w:pStyle w:val="NumAext2"/>
        <w:rPr>
          <w:lang w:val="es-ES"/>
        </w:rPr>
      </w:pPr>
      <w:r w:rsidRPr="005865FE">
        <w:rPr>
          <w:lang w:val="es-ES"/>
        </w:rPr>
        <w:t xml:space="preserve">El emisor celebra el presente contrato tanto en su nombre como en calidad de fiduciario de la Bolsa y los tenedores de valores del emisor, y </w:t>
      </w:r>
      <w:r w:rsidR="00174BE0">
        <w:rPr>
          <w:lang w:val="es-ES"/>
        </w:rPr>
        <w:t>el presente contrato</w:t>
      </w:r>
      <w:r w:rsidRPr="005865FE">
        <w:rPr>
          <w:lang w:val="es-ES"/>
        </w:rPr>
        <w:t xml:space="preserve"> podrá ser exigible por la Bolsa o por los tenedores de valores del emisor</w:t>
      </w:r>
      <w:r w:rsidR="00535DD1">
        <w:rPr>
          <w:lang w:val="es-ES"/>
        </w:rPr>
        <w:t>,</w:t>
      </w:r>
      <w:r w:rsidRPr="005865FE">
        <w:rPr>
          <w:lang w:val="es-ES"/>
        </w:rPr>
        <w:t xml:space="preserve"> o por ambos.</w:t>
      </w:r>
    </w:p>
    <w:p w14:paraId="1F9B5D24" w14:textId="77777777" w:rsidR="006913AC" w:rsidRPr="005865FE" w:rsidRDefault="004A7E52">
      <w:pPr>
        <w:pStyle w:val="NumA2"/>
        <w:rPr>
          <w:lang w:val="es-ES"/>
        </w:rPr>
      </w:pPr>
      <w:r w:rsidRPr="005865FE">
        <w:rPr>
          <w:lang w:val="es-ES"/>
        </w:rPr>
        <w:t>Rescisión, enmienda y cesión del contrato</w:t>
      </w:r>
    </w:p>
    <w:p w14:paraId="2650FAE2" w14:textId="52B031F1" w:rsidR="006913AC" w:rsidRPr="005865FE" w:rsidRDefault="009F6A11">
      <w:pPr>
        <w:pStyle w:val="NumA3"/>
        <w:rPr>
          <w:lang w:val="es-ES"/>
        </w:rPr>
      </w:pPr>
      <w:r w:rsidRPr="005865FE">
        <w:rPr>
          <w:lang w:val="es-ES"/>
        </w:rPr>
        <w:t>Sujeto al párrafo 11.3(3), el presente contrato solo podrá rescindirse en los siguientes casos:</w:t>
      </w:r>
    </w:p>
    <w:p w14:paraId="0BB56A8D" w14:textId="77777777" w:rsidR="006913AC" w:rsidRPr="005865FE" w:rsidRDefault="004A7E52">
      <w:pPr>
        <w:pStyle w:val="NumA4"/>
        <w:rPr>
          <w:lang w:val="es-ES"/>
        </w:rPr>
      </w:pPr>
      <w:r w:rsidRPr="005865FE">
        <w:rPr>
          <w:lang w:val="es-ES"/>
        </w:rPr>
        <w:t>con respecto a todas las partes:</w:t>
      </w:r>
    </w:p>
    <w:p w14:paraId="49C54A69" w14:textId="66289135" w:rsidR="006913AC" w:rsidRPr="005865FE" w:rsidRDefault="002F2C9B">
      <w:pPr>
        <w:pStyle w:val="NumA5"/>
        <w:rPr>
          <w:lang w:val="es-ES"/>
        </w:rPr>
      </w:pPr>
      <w:r w:rsidRPr="005865FE">
        <w:rPr>
          <w:lang w:val="es-ES"/>
        </w:rPr>
        <w:t>según se especifica en el presente contrato;</w:t>
      </w:r>
    </w:p>
    <w:p w14:paraId="30C477E9" w14:textId="1580C27A" w:rsidR="006913AC" w:rsidRPr="005865FE" w:rsidRDefault="00670CB5">
      <w:pPr>
        <w:pStyle w:val="NumA5"/>
        <w:rPr>
          <w:lang w:val="es-ES"/>
        </w:rPr>
      </w:pPr>
      <w:r w:rsidRPr="005865FE">
        <w:rPr>
          <w:lang w:val="es-ES"/>
        </w:rPr>
        <w:t>sujeto al párrafo 11.3(2), mediante acuerdo entre las partes;</w:t>
      </w:r>
    </w:p>
    <w:p w14:paraId="7C38F058" w14:textId="6337957D" w:rsidR="006913AC" w:rsidRPr="005865FE" w:rsidRDefault="00B41E58">
      <w:pPr>
        <w:pStyle w:val="NumA5"/>
        <w:rPr>
          <w:lang w:val="es-ES"/>
        </w:rPr>
      </w:pPr>
      <w:r w:rsidRPr="005865FE">
        <w:rPr>
          <w:lang w:val="es-ES"/>
        </w:rPr>
        <w:t>cuando los valores en custodia de todos los tenedores de valores hayan sido liberados de la custodia conforme a</w:t>
      </w:r>
      <w:r w:rsidR="00174BE0">
        <w:rPr>
          <w:lang w:val="es-ES"/>
        </w:rPr>
        <w:t>l presente</w:t>
      </w:r>
      <w:r w:rsidRPr="005865FE">
        <w:rPr>
          <w:lang w:val="es-ES"/>
        </w:rPr>
        <w:t xml:space="preserve"> contrato;</w:t>
      </w:r>
    </w:p>
    <w:p w14:paraId="2F6963D8" w14:textId="77777777" w:rsidR="006913AC" w:rsidRPr="005865FE" w:rsidRDefault="004A7E52">
      <w:pPr>
        <w:pStyle w:val="NumA4"/>
        <w:rPr>
          <w:lang w:val="es-ES"/>
        </w:rPr>
      </w:pPr>
      <w:r w:rsidRPr="005865FE">
        <w:rPr>
          <w:lang w:val="es-ES"/>
        </w:rPr>
        <w:t>con respecto a una parte:</w:t>
      </w:r>
    </w:p>
    <w:p w14:paraId="79282351" w14:textId="0511A07B" w:rsidR="006913AC" w:rsidRPr="005865FE" w:rsidRDefault="00897F77">
      <w:pPr>
        <w:pStyle w:val="NumA5"/>
        <w:rPr>
          <w:lang w:val="es-ES"/>
        </w:rPr>
      </w:pPr>
      <w:r w:rsidRPr="005865FE">
        <w:rPr>
          <w:lang w:val="es-ES"/>
        </w:rPr>
        <w:t>según se especifica en el presente contrato;</w:t>
      </w:r>
    </w:p>
    <w:p w14:paraId="13DFD011" w14:textId="13DA621A" w:rsidR="006913AC" w:rsidRPr="005865FE" w:rsidRDefault="001F557E">
      <w:pPr>
        <w:pStyle w:val="NumA5"/>
        <w:rPr>
          <w:lang w:val="es-ES"/>
        </w:rPr>
      </w:pPr>
      <w:r w:rsidRPr="005865FE">
        <w:rPr>
          <w:lang w:val="es-ES"/>
        </w:rPr>
        <w:t>si la parte es un tenedor de valores, cuando todos sus valores en custodia hayan sido liberados de conformidad con el presente contrato.</w:t>
      </w:r>
    </w:p>
    <w:p w14:paraId="0C3DD68C" w14:textId="41F3542B" w:rsidR="006913AC" w:rsidRPr="005865FE" w:rsidRDefault="0007289B">
      <w:pPr>
        <w:pStyle w:val="NumA3"/>
        <w:rPr>
          <w:lang w:val="es-ES"/>
        </w:rPr>
      </w:pPr>
      <w:r w:rsidRPr="005865FE">
        <w:rPr>
          <w:lang w:val="es-ES"/>
        </w:rPr>
        <w:t xml:space="preserve">Un acuerdo para rescindir </w:t>
      </w:r>
      <w:r w:rsidR="00174BE0">
        <w:rPr>
          <w:lang w:val="es-ES"/>
        </w:rPr>
        <w:t>el presente contrato</w:t>
      </w:r>
      <w:r w:rsidRPr="005865FE">
        <w:rPr>
          <w:lang w:val="es-ES"/>
        </w:rPr>
        <w:t xml:space="preserve"> de conformidad con el párrafo 11.3(1)(a)(ii) no tendrá efecto a menos que y hasta que el acuerdo de rescisión:</w:t>
      </w:r>
    </w:p>
    <w:p w14:paraId="3B5C7F71" w14:textId="77777777" w:rsidR="006913AC" w:rsidRPr="005865FE" w:rsidRDefault="004A7E52">
      <w:pPr>
        <w:pStyle w:val="NumA4"/>
        <w:rPr>
          <w:lang w:val="es-ES"/>
        </w:rPr>
      </w:pPr>
      <w:r w:rsidRPr="005865FE">
        <w:rPr>
          <w:lang w:val="es-ES"/>
        </w:rPr>
        <w:t>se evidencie mediante un memorando por escrito firmado por todas las partes;</w:t>
      </w:r>
    </w:p>
    <w:p w14:paraId="6691EFEF" w14:textId="1A9FEB46" w:rsidR="006913AC" w:rsidRPr="005865FE" w:rsidRDefault="0075022D">
      <w:pPr>
        <w:pStyle w:val="NumA4"/>
        <w:rPr>
          <w:lang w:val="es-ES"/>
        </w:rPr>
      </w:pPr>
      <w:r w:rsidRPr="005865FE">
        <w:rPr>
          <w:lang w:val="es-ES"/>
        </w:rPr>
        <w:t>si el emisor está inscrito en la Bolsa, la rescisión del presente contrato debe ser acordada por escrito por la Bolsa;</w:t>
      </w:r>
    </w:p>
    <w:p w14:paraId="07AE9485" w14:textId="6A3BF398" w:rsidR="006913AC" w:rsidRPr="005865FE" w:rsidRDefault="00BF4806">
      <w:pPr>
        <w:pStyle w:val="NumA4"/>
        <w:rPr>
          <w:lang w:val="es-ES"/>
        </w:rPr>
      </w:pPr>
      <w:r w:rsidRPr="005865FE">
        <w:rPr>
          <w:lang w:val="es-ES"/>
        </w:rPr>
        <w:t>ha sido aprobada por una mayoría de votos de tenedores de valores del emisor, excluyendo en cada caso, a los tenedores de valores designados en el presente contrato.</w:t>
      </w:r>
    </w:p>
    <w:p w14:paraId="4F846CFC" w14:textId="13FA2873" w:rsidR="006913AC" w:rsidRPr="005865FE" w:rsidRDefault="000332C8">
      <w:pPr>
        <w:pStyle w:val="NumA3"/>
        <w:rPr>
          <w:lang w:val="es-ES"/>
        </w:rPr>
      </w:pPr>
      <w:r w:rsidRPr="005865FE">
        <w:rPr>
          <w:lang w:val="es-ES"/>
        </w:rPr>
        <w:t xml:space="preserve">No </w:t>
      </w:r>
      <w:r w:rsidR="004B60BE" w:rsidRPr="005865FE">
        <w:rPr>
          <w:lang w:val="es-ES"/>
        </w:rPr>
        <w:t>obstante,</w:t>
      </w:r>
      <w:r w:rsidRPr="005865FE">
        <w:rPr>
          <w:lang w:val="es-ES"/>
        </w:rPr>
        <w:t xml:space="preserve"> cualquier disposición en contrario en el presente contrato, las obligaciones establecidas en el </w:t>
      </w:r>
      <w:r w:rsidRPr="005865FE">
        <w:rPr>
          <w:lang w:val="es-ES"/>
        </w:rPr>
        <w:fldChar w:fldCharType="begin"/>
      </w:r>
      <w:r w:rsidRPr="005865FE">
        <w:rPr>
          <w:lang w:val="es-ES"/>
        </w:rPr>
        <w:instrText xml:space="preserve"> REF _Ref4840899 \w \h </w:instrText>
      </w:r>
      <w:r w:rsidRPr="005865FE">
        <w:rPr>
          <w:lang w:val="es-ES"/>
        </w:rPr>
      </w:r>
      <w:r w:rsidRPr="005865FE">
        <w:rPr>
          <w:lang w:val="es-ES"/>
        </w:rPr>
        <w:fldChar w:fldCharType="separate"/>
      </w:r>
      <w:r w:rsidRPr="005865FE">
        <w:rPr>
          <w:lang w:val="es-ES"/>
        </w:rPr>
        <w:t>párrafo</w:t>
      </w:r>
      <w:r w:rsidRPr="005865FE">
        <w:rPr>
          <w:lang w:val="es-ES"/>
        </w:rPr>
        <w:fldChar w:fldCharType="end"/>
      </w:r>
      <w:r w:rsidRPr="005865FE">
        <w:rPr>
          <w:lang w:val="es-ES"/>
        </w:rPr>
        <w:t xml:space="preserve"> 9.1 continuarán vigentes con posterioridad a la rescisión del presente contrato y la renuncia o destitución del agente de custodia.</w:t>
      </w:r>
    </w:p>
    <w:p w14:paraId="2655E201" w14:textId="154F7416" w:rsidR="006913AC" w:rsidRPr="005865FE" w:rsidRDefault="007D420E">
      <w:pPr>
        <w:pStyle w:val="NumA3"/>
        <w:rPr>
          <w:lang w:val="es-ES"/>
        </w:rPr>
      </w:pPr>
      <w:r w:rsidRPr="005865FE">
        <w:rPr>
          <w:lang w:val="es-ES"/>
        </w:rPr>
        <w:t>Ninguna enmienda o renuncia del presente contrato o de alguna parte de este será efectiva a menos que dicha enmienda o renuncia:</w:t>
      </w:r>
    </w:p>
    <w:p w14:paraId="47CC0DC4" w14:textId="77777777" w:rsidR="006913AC" w:rsidRPr="005865FE" w:rsidRDefault="004A7E52">
      <w:pPr>
        <w:pStyle w:val="NumA4"/>
        <w:rPr>
          <w:lang w:val="es-ES"/>
        </w:rPr>
      </w:pPr>
      <w:r w:rsidRPr="005865FE">
        <w:rPr>
          <w:lang w:val="es-ES"/>
        </w:rPr>
        <w:t>se evidencie mediante un memorando por escrito firmado por todas las partes;</w:t>
      </w:r>
    </w:p>
    <w:p w14:paraId="7A38E407" w14:textId="738BCD51" w:rsidR="006913AC" w:rsidRPr="005865FE" w:rsidRDefault="00F537C4">
      <w:pPr>
        <w:pStyle w:val="NumA4"/>
        <w:rPr>
          <w:lang w:val="es-ES"/>
        </w:rPr>
      </w:pPr>
      <w:r w:rsidRPr="005865FE">
        <w:rPr>
          <w:lang w:val="es-ES"/>
        </w:rPr>
        <w:t xml:space="preserve">si el emisor está inscrito en la Bolsa, la enmienda o renuncia del presente contrato ha sido aprobada por escrito por la Bolsa; </w:t>
      </w:r>
    </w:p>
    <w:p w14:paraId="7390D9D9" w14:textId="3DEB84BF" w:rsidR="006913AC" w:rsidRPr="005865FE" w:rsidRDefault="00BF4806">
      <w:pPr>
        <w:pStyle w:val="NumA4"/>
        <w:rPr>
          <w:lang w:val="es-ES"/>
        </w:rPr>
      </w:pPr>
      <w:r w:rsidRPr="005865FE">
        <w:rPr>
          <w:lang w:val="es-ES"/>
        </w:rPr>
        <w:t>ha sido aprobada por una mayoría de votos de tenedores de valores del emisor, excluyendo en cada caso, a los tenedores de valores designados en el presente contrato.</w:t>
      </w:r>
    </w:p>
    <w:p w14:paraId="17025D09" w14:textId="41367893" w:rsidR="006913AC" w:rsidRPr="005865FE" w:rsidRDefault="00704B49">
      <w:pPr>
        <w:pStyle w:val="NumA3"/>
        <w:rPr>
          <w:lang w:val="es-ES"/>
        </w:rPr>
      </w:pPr>
      <w:r w:rsidRPr="005865FE">
        <w:rPr>
          <w:lang w:val="es-ES"/>
        </w:rPr>
        <w:t>Ninguna renuncia de cualquiera de las cláusulas del presente contrato se considerará o constituirá una renuncia de cualquier otra cláusula (sea similar o no), ni dicha renuncia constituirá una renuncia permanente salvo disposición expresa en contrario.</w:t>
      </w:r>
    </w:p>
    <w:p w14:paraId="50B7D7D8" w14:textId="66A98979" w:rsidR="006913AC" w:rsidRPr="005865FE" w:rsidRDefault="00C73D57">
      <w:pPr>
        <w:pStyle w:val="NumA2"/>
        <w:rPr>
          <w:lang w:val="es-ES"/>
        </w:rPr>
      </w:pPr>
      <w:r w:rsidRPr="005865FE">
        <w:rPr>
          <w:lang w:val="es-ES"/>
        </w:rPr>
        <w:t>Divisibilidad de las disposiciones</w:t>
      </w:r>
    </w:p>
    <w:p w14:paraId="37E04E70" w14:textId="56CF9E80" w:rsidR="006913AC" w:rsidRPr="005865FE" w:rsidRDefault="004A7E52">
      <w:pPr>
        <w:pStyle w:val="NumAext2"/>
        <w:rPr>
          <w:lang w:val="es-ES"/>
        </w:rPr>
      </w:pPr>
      <w:r w:rsidRPr="005865FE">
        <w:rPr>
          <w:lang w:val="es-ES"/>
        </w:rPr>
        <w:t>Toda disposición o parte de una disposición de</w:t>
      </w:r>
      <w:r w:rsidR="00174BE0">
        <w:rPr>
          <w:lang w:val="es-ES"/>
        </w:rPr>
        <w:t>l presente contrato</w:t>
      </w:r>
      <w:r w:rsidRPr="005865FE">
        <w:rPr>
          <w:lang w:val="es-ES"/>
        </w:rPr>
        <w:t xml:space="preserve"> determinada por un tribunal de jurisdicción competente que sea inválida, ilegal o inexigible se eliminará del presente en la medida en que sea necesaria para eliminar la invalidez, ilegalidad o inexigibilidad, y el resto del contrato y todas las demás disposiciones y partes del contrato permanecerán con plena fuerza y efecto y serán vinculantes para las partes como si dicha disposición ilegal y/o inexigible, o parte de ella, nunca hubiese sido incluida en </w:t>
      </w:r>
      <w:r w:rsidR="00174BE0">
        <w:rPr>
          <w:lang w:val="es-ES"/>
        </w:rPr>
        <w:t>el presente contrato</w:t>
      </w:r>
      <w:r w:rsidRPr="005865FE">
        <w:rPr>
          <w:lang w:val="es-ES"/>
        </w:rPr>
        <w:t>.</w:t>
      </w:r>
    </w:p>
    <w:p w14:paraId="332DF7C7" w14:textId="7E4E68D5" w:rsidR="006913AC" w:rsidRPr="005865FE" w:rsidRDefault="007508DB">
      <w:pPr>
        <w:pStyle w:val="NumA2"/>
        <w:rPr>
          <w:lang w:val="es-ES"/>
        </w:rPr>
      </w:pPr>
      <w:r w:rsidRPr="005865FE">
        <w:rPr>
          <w:lang w:val="es-ES"/>
        </w:rPr>
        <w:t>Garantías adicionales</w:t>
      </w:r>
    </w:p>
    <w:p w14:paraId="05876603" w14:textId="0B1DFF45" w:rsidR="006913AC" w:rsidRPr="005865FE" w:rsidRDefault="00BB4C99">
      <w:pPr>
        <w:pStyle w:val="NumAext2"/>
        <w:rPr>
          <w:lang w:val="es-ES"/>
        </w:rPr>
      </w:pPr>
      <w:r w:rsidRPr="005865FE">
        <w:rPr>
          <w:lang w:val="es-ES"/>
        </w:rPr>
        <w:t>Las partes firmarán y entregarán todos los documentos adicionales y realizarán todos los actos adicionales que sean razonablemente solicitados por alguna de las partes del presente, que se requieran para llevar adelante el propósito del presente contrato.</w:t>
      </w:r>
    </w:p>
    <w:p w14:paraId="366136F7" w14:textId="446C947A" w:rsidR="006913AC" w:rsidRPr="005865FE" w:rsidRDefault="00206BAB">
      <w:pPr>
        <w:pStyle w:val="NumA2"/>
        <w:rPr>
          <w:lang w:val="es-ES"/>
        </w:rPr>
      </w:pPr>
      <w:r w:rsidRPr="005865FE">
        <w:rPr>
          <w:lang w:val="es-ES"/>
        </w:rPr>
        <w:t>Plazos</w:t>
      </w:r>
    </w:p>
    <w:p w14:paraId="4A866C35" w14:textId="5FC48527" w:rsidR="006913AC" w:rsidRPr="005865FE" w:rsidRDefault="00C70D57">
      <w:pPr>
        <w:pStyle w:val="NumAext2"/>
        <w:rPr>
          <w:lang w:val="es-ES"/>
        </w:rPr>
      </w:pPr>
      <w:r w:rsidRPr="005865FE">
        <w:rPr>
          <w:lang w:val="es-ES"/>
        </w:rPr>
        <w:t>Los plazos previstos en el presente contrato son condición esencial.</w:t>
      </w:r>
    </w:p>
    <w:p w14:paraId="21F21C3A" w14:textId="312ADD5B" w:rsidR="006913AC" w:rsidRPr="005865FE" w:rsidRDefault="007308FA">
      <w:pPr>
        <w:pStyle w:val="NumA2"/>
        <w:rPr>
          <w:lang w:val="es-ES"/>
        </w:rPr>
      </w:pPr>
      <w:r w:rsidRPr="005865FE">
        <w:rPr>
          <w:lang w:val="es-ES"/>
        </w:rPr>
        <w:t>Consentimiento de las enmiendas por parte de la Bolsa</w:t>
      </w:r>
    </w:p>
    <w:p w14:paraId="603190EB" w14:textId="2C3C7A41" w:rsidR="006913AC" w:rsidRPr="005865FE" w:rsidRDefault="00280987">
      <w:pPr>
        <w:pStyle w:val="NumAext2"/>
        <w:rPr>
          <w:lang w:val="es-ES"/>
        </w:rPr>
      </w:pPr>
      <w:r w:rsidRPr="005865FE">
        <w:rPr>
          <w:lang w:val="es-ES"/>
        </w:rPr>
        <w:t>La Bolsa debe aprobar toda enmienda al presente si el emisor está inscrito en la Bolsa en el momento de la enmienda propuesta.</w:t>
      </w:r>
    </w:p>
    <w:p w14:paraId="68917BE2" w14:textId="77777777" w:rsidR="006913AC" w:rsidRPr="005865FE" w:rsidRDefault="004A7E52">
      <w:pPr>
        <w:pStyle w:val="NumA2"/>
        <w:rPr>
          <w:lang w:val="es-ES"/>
        </w:rPr>
      </w:pPr>
      <w:r w:rsidRPr="005865FE">
        <w:rPr>
          <w:lang w:val="es-ES"/>
        </w:rPr>
        <w:t>Requisitos adicionales de custodia</w:t>
      </w:r>
    </w:p>
    <w:p w14:paraId="304A7840" w14:textId="3AC2BB05" w:rsidR="006913AC" w:rsidRPr="005865FE" w:rsidRDefault="00D31D6F">
      <w:pPr>
        <w:pStyle w:val="NumAext2"/>
        <w:rPr>
          <w:lang w:val="es-ES"/>
        </w:rPr>
      </w:pPr>
      <w:r w:rsidRPr="005865FE">
        <w:rPr>
          <w:lang w:val="es-ES"/>
        </w:rPr>
        <w:t xml:space="preserve">Una bolsa canadiense puede imponer </w:t>
      </w:r>
      <w:r w:rsidR="000A1409">
        <w:rPr>
          <w:lang w:val="es-ES"/>
        </w:rPr>
        <w:t>otros términos o</w:t>
      </w:r>
      <w:r w:rsidRPr="005865FE">
        <w:rPr>
          <w:lang w:val="es-ES"/>
        </w:rPr>
        <w:t xml:space="preserve"> </w:t>
      </w:r>
      <w:r w:rsidRPr="000A1409">
        <w:rPr>
          <w:lang w:val="es-ES"/>
        </w:rPr>
        <w:t xml:space="preserve">condiciones </w:t>
      </w:r>
      <w:r w:rsidR="000A1409" w:rsidRPr="000A1409">
        <w:rPr>
          <w:lang w:val="es-ES"/>
        </w:rPr>
        <w:t>de</w:t>
      </w:r>
      <w:r w:rsidRPr="000A1409">
        <w:rPr>
          <w:lang w:val="es-ES"/>
        </w:rPr>
        <w:t xml:space="preserve"> </w:t>
      </w:r>
      <w:r w:rsidRPr="005865FE">
        <w:rPr>
          <w:lang w:val="es-ES"/>
        </w:rPr>
        <w:t>custodia a aquellas establecidas en el presente contrato.</w:t>
      </w:r>
    </w:p>
    <w:p w14:paraId="33F3FF59" w14:textId="77777777" w:rsidR="006913AC" w:rsidRPr="005865FE" w:rsidRDefault="004A7E52">
      <w:pPr>
        <w:pStyle w:val="NumA2"/>
        <w:rPr>
          <w:lang w:val="es-ES"/>
        </w:rPr>
      </w:pPr>
      <w:r w:rsidRPr="005865FE">
        <w:rPr>
          <w:lang w:val="es-ES"/>
        </w:rPr>
        <w:t>Legislación vigente</w:t>
      </w:r>
    </w:p>
    <w:p w14:paraId="3297D9D7" w14:textId="159638C2" w:rsidR="006913AC" w:rsidRPr="005865FE" w:rsidRDefault="00D5590F">
      <w:pPr>
        <w:pStyle w:val="BodyText"/>
        <w:rPr>
          <w:lang w:val="es-ES"/>
        </w:rPr>
      </w:pPr>
      <w:r w:rsidRPr="005865FE">
        <w:rPr>
          <w:lang w:val="es-ES"/>
        </w:rPr>
        <w:t>Las leyes [de] [incluir jurisdicción principal] y las leyes aplicables de Canadá regirán el presente.</w:t>
      </w:r>
    </w:p>
    <w:p w14:paraId="068CE526" w14:textId="77777777" w:rsidR="006913AC" w:rsidRPr="005865FE" w:rsidRDefault="004A7E52">
      <w:pPr>
        <w:pStyle w:val="NumA2"/>
        <w:rPr>
          <w:lang w:val="es-ES"/>
        </w:rPr>
      </w:pPr>
      <w:r w:rsidRPr="005865FE">
        <w:rPr>
          <w:lang w:val="es-ES"/>
        </w:rPr>
        <w:t>Ejemplares</w:t>
      </w:r>
    </w:p>
    <w:p w14:paraId="663FA6B0" w14:textId="54CF4772" w:rsidR="006913AC" w:rsidRPr="005865FE" w:rsidRDefault="00AF76FD">
      <w:pPr>
        <w:pStyle w:val="NumAext2"/>
        <w:rPr>
          <w:lang w:val="es-ES"/>
        </w:rPr>
      </w:pPr>
      <w:r w:rsidRPr="005865FE">
        <w:rPr>
          <w:lang w:val="es-ES"/>
        </w:rPr>
        <w:t>Las partes pueden firmar por fax el presente contrato y pueden firmarlos en dos o más ejemplares, estos se considerarán originales y todos juntos constituirán el contrato.</w:t>
      </w:r>
    </w:p>
    <w:p w14:paraId="32EA9D82" w14:textId="77777777" w:rsidR="006913AC" w:rsidRPr="005865FE" w:rsidRDefault="004A7E52">
      <w:pPr>
        <w:pStyle w:val="NumA2"/>
        <w:rPr>
          <w:u w:val="single"/>
          <w:lang w:val="es-ES"/>
        </w:rPr>
      </w:pPr>
      <w:r w:rsidRPr="005865FE">
        <w:rPr>
          <w:lang w:val="es-ES"/>
        </w:rPr>
        <w:t>Singular y plural</w:t>
      </w:r>
    </w:p>
    <w:p w14:paraId="6DA94975" w14:textId="4F26B260" w:rsidR="006913AC" w:rsidRPr="005865FE" w:rsidRDefault="004A7E52">
      <w:pPr>
        <w:pStyle w:val="NumAext2"/>
        <w:rPr>
          <w:lang w:val="es-ES"/>
        </w:rPr>
      </w:pPr>
      <w:r w:rsidRPr="005865FE">
        <w:rPr>
          <w:lang w:val="es-ES"/>
        </w:rPr>
        <w:t xml:space="preserve">Cuando se utiliza una expresión en singular en </w:t>
      </w:r>
      <w:r w:rsidR="00174BE0">
        <w:rPr>
          <w:lang w:val="es-ES"/>
        </w:rPr>
        <w:t>el presente contrato</w:t>
      </w:r>
      <w:r w:rsidRPr="005865FE">
        <w:rPr>
          <w:lang w:val="es-ES"/>
        </w:rPr>
        <w:t>, se considera que dicha expresión incluye el plural o la entidad corporativa, si se requiere por contexto.</w:t>
      </w:r>
    </w:p>
    <w:p w14:paraId="1274076A" w14:textId="77777777" w:rsidR="006913AC" w:rsidRPr="005865FE" w:rsidRDefault="004A7E52">
      <w:pPr>
        <w:pStyle w:val="NumA2"/>
        <w:rPr>
          <w:lang w:val="es-ES"/>
        </w:rPr>
      </w:pPr>
      <w:r w:rsidRPr="005865FE">
        <w:rPr>
          <w:lang w:val="es-ES"/>
        </w:rPr>
        <w:t>Idioma</w:t>
      </w:r>
    </w:p>
    <w:p w14:paraId="084D355E" w14:textId="47E8D36C" w:rsidR="006913AC" w:rsidRPr="004B60BE" w:rsidRDefault="00183652">
      <w:pPr>
        <w:pStyle w:val="NumAext2"/>
        <w:rPr>
          <w:b/>
          <w:lang w:val="fr-CA"/>
        </w:rPr>
      </w:pPr>
      <w:r w:rsidRPr="005865FE">
        <w:rPr>
          <w:lang w:val="es-ES"/>
        </w:rPr>
        <w:t>E</w:t>
      </w:r>
      <w:r w:rsidR="00F736DF">
        <w:rPr>
          <w:lang w:val="es-ES"/>
        </w:rPr>
        <w:t>l presente</w:t>
      </w:r>
      <w:r w:rsidRPr="005865FE">
        <w:rPr>
          <w:lang w:val="es-ES"/>
        </w:rPr>
        <w:t xml:space="preserve"> contrato ha sido redactado en [inglés/francés] a solicitud de todas las partes.</w:t>
      </w:r>
      <w:r w:rsidR="00A23C10" w:rsidRPr="005865FE">
        <w:rPr>
          <w:lang w:val="es-ES"/>
        </w:rPr>
        <w:t xml:space="preserve"> </w:t>
      </w:r>
      <w:r w:rsidR="004A7E52" w:rsidRPr="004B60BE">
        <w:rPr>
          <w:lang w:val="fr-CA"/>
        </w:rPr>
        <w:t>Cet acte a été rédigé en [anglais/français] à la demande de toutes les parties.</w:t>
      </w:r>
    </w:p>
    <w:p w14:paraId="1505120C" w14:textId="77777777" w:rsidR="006913AC" w:rsidRPr="005865FE" w:rsidRDefault="004A7E52">
      <w:pPr>
        <w:pStyle w:val="NumA2"/>
        <w:rPr>
          <w:u w:val="single"/>
          <w:lang w:val="es-ES"/>
        </w:rPr>
      </w:pPr>
      <w:r w:rsidRPr="005865FE">
        <w:rPr>
          <w:lang w:val="es-ES"/>
        </w:rPr>
        <w:t>Beneficio y efecto vinculante</w:t>
      </w:r>
    </w:p>
    <w:p w14:paraId="7E9200FD" w14:textId="46807717" w:rsidR="006913AC" w:rsidRPr="005865FE" w:rsidRDefault="004A7E52">
      <w:pPr>
        <w:pStyle w:val="NumAext2"/>
        <w:rPr>
          <w:lang w:val="es-ES"/>
        </w:rPr>
      </w:pPr>
      <w:r w:rsidRPr="005865FE">
        <w:rPr>
          <w:lang w:val="es-ES"/>
        </w:rPr>
        <w:t>E</w:t>
      </w:r>
      <w:r w:rsidR="0028255F">
        <w:rPr>
          <w:lang w:val="es-ES"/>
        </w:rPr>
        <w:t>l presente</w:t>
      </w:r>
      <w:r w:rsidRPr="005865FE">
        <w:rPr>
          <w:lang w:val="es-ES"/>
        </w:rPr>
        <w:t xml:space="preserve"> contrato beneficiará y </w:t>
      </w:r>
      <w:r w:rsidR="003D1E1D">
        <w:rPr>
          <w:lang w:val="es-ES"/>
        </w:rPr>
        <w:t>será vinculante par</w:t>
      </w:r>
      <w:r w:rsidRPr="005865FE">
        <w:rPr>
          <w:lang w:val="es-ES"/>
        </w:rPr>
        <w:t xml:space="preserve">a las partes y sus herederos, albaceas, administradores, sucesores y </w:t>
      </w:r>
      <w:r w:rsidRPr="003D1E1D">
        <w:rPr>
          <w:lang w:val="es-ES"/>
        </w:rPr>
        <w:t xml:space="preserve">cesionarios </w:t>
      </w:r>
      <w:r w:rsidRPr="005865FE">
        <w:rPr>
          <w:lang w:val="es-ES"/>
        </w:rPr>
        <w:t xml:space="preserve">permitidos, y todas las personas que hagan algún reclamo en virtud de </w:t>
      </w:r>
      <w:r w:rsidR="00174BE0">
        <w:rPr>
          <w:lang w:val="es-ES"/>
        </w:rPr>
        <w:t>el presente contrato</w:t>
      </w:r>
      <w:r w:rsidRPr="005865FE">
        <w:rPr>
          <w:lang w:val="es-ES"/>
        </w:rPr>
        <w:t xml:space="preserve"> como si hubieran sido parte del presente.</w:t>
      </w:r>
    </w:p>
    <w:p w14:paraId="423CF7AD" w14:textId="2F87E5B7" w:rsidR="006913AC" w:rsidRPr="005865FE" w:rsidRDefault="00CA1E8F">
      <w:pPr>
        <w:pStyle w:val="NumA2"/>
        <w:rPr>
          <w:lang w:val="es-ES"/>
        </w:rPr>
      </w:pPr>
      <w:r w:rsidRPr="005865FE">
        <w:rPr>
          <w:lang w:val="es-ES"/>
        </w:rPr>
        <w:t>Integridad del contrato</w:t>
      </w:r>
    </w:p>
    <w:p w14:paraId="37F674CD" w14:textId="34037C83" w:rsidR="006913AC" w:rsidRPr="005865FE" w:rsidRDefault="004A7E52">
      <w:pPr>
        <w:pStyle w:val="NumAext2"/>
        <w:rPr>
          <w:snapToGrid w:val="0"/>
          <w:lang w:val="es-ES"/>
        </w:rPr>
      </w:pPr>
      <w:r w:rsidRPr="005865FE">
        <w:rPr>
          <w:snapToGrid w:val="0"/>
          <w:lang w:val="es-ES"/>
        </w:rPr>
        <w:t xml:space="preserve">El presente es el contrato íntegro entre las partes en relación con el objeto especificado en </w:t>
      </w:r>
      <w:r w:rsidR="00174BE0">
        <w:rPr>
          <w:snapToGrid w:val="0"/>
          <w:lang w:val="es-ES"/>
        </w:rPr>
        <w:t>el presente contrato</w:t>
      </w:r>
      <w:r w:rsidRPr="005865FE">
        <w:rPr>
          <w:snapToGrid w:val="0"/>
          <w:lang w:val="es-ES"/>
        </w:rPr>
        <w:t xml:space="preserve"> y reemplaza todos y cada uno de los compromisos y acuerdos previos.</w:t>
      </w:r>
    </w:p>
    <w:p w14:paraId="04EBA4DB" w14:textId="797FFAA2" w:rsidR="006913AC" w:rsidRPr="005865FE" w:rsidRDefault="00D721AE">
      <w:pPr>
        <w:pStyle w:val="NumA2"/>
        <w:rPr>
          <w:lang w:val="es-ES"/>
        </w:rPr>
      </w:pPr>
      <w:r w:rsidRPr="005865FE">
        <w:rPr>
          <w:lang w:val="es-ES"/>
        </w:rPr>
        <w:t>Sucesor del agente de custodia</w:t>
      </w:r>
    </w:p>
    <w:p w14:paraId="5F202ADE" w14:textId="28ECCE26" w:rsidR="006913AC" w:rsidRPr="005865FE" w:rsidRDefault="00034D7F">
      <w:pPr>
        <w:pStyle w:val="NumAext2"/>
        <w:rPr>
          <w:lang w:val="es-ES"/>
        </w:rPr>
      </w:pPr>
      <w:r w:rsidRPr="005865FE">
        <w:rPr>
          <w:lang w:val="es-ES"/>
        </w:rPr>
        <w:t>En caso de fusión, fusión propiamente dicha o de consolidación del agente de custodia con cualquier sociedad o de reemplazo del agente de custodia por una sociedad que sea sucesora de la actividad del agente de custodia, esta sociedad será sucesora del agente de custodia en virtud del presente contrato sin necesidad de ninguna otra acción por su parte ni por parte de alguna de las partes, siempre que el sucesor sea reconocido por la Bolsa.</w:t>
      </w:r>
    </w:p>
    <w:p w14:paraId="70196129" w14:textId="77777777" w:rsidR="006913AC" w:rsidRPr="005865FE" w:rsidRDefault="004A7E52">
      <w:pPr>
        <w:pStyle w:val="NumAext2"/>
        <w:keepNext/>
        <w:rPr>
          <w:lang w:val="es-ES"/>
        </w:rPr>
      </w:pPr>
      <w:r w:rsidRPr="005865FE">
        <w:rPr>
          <w:lang w:val="es-ES"/>
        </w:rPr>
        <w:t>Las partes firman y otorgan el presente contrato en la fecha mencionada anteriormente.</w:t>
      </w:r>
    </w:p>
    <w:p w14:paraId="18B14BEC" w14:textId="77777777" w:rsidR="00AD7A44" w:rsidRPr="005865FE" w:rsidRDefault="00AD7A44">
      <w:pPr>
        <w:pStyle w:val="NumAext2"/>
        <w:keepNext/>
        <w:rPr>
          <w:lang w:val="es-ES"/>
        </w:rPr>
      </w:pPr>
    </w:p>
    <w:p w14:paraId="64BA511B" w14:textId="77777777" w:rsidR="00AD7A44" w:rsidRPr="005865FE" w:rsidRDefault="00AD7A44">
      <w:pPr>
        <w:pStyle w:val="NumAext2"/>
        <w:keepNext/>
        <w:rPr>
          <w:lang w:val="es-ES"/>
        </w:rPr>
      </w:pPr>
    </w:p>
    <w:p w14:paraId="5AC677BC" w14:textId="7F929A38" w:rsidR="006913AC" w:rsidRPr="005865FE" w:rsidRDefault="00405147">
      <w:pPr>
        <w:pStyle w:val="BodyText"/>
        <w:rPr>
          <w:lang w:val="es-ES"/>
        </w:rPr>
      </w:pPr>
      <w:r w:rsidRPr="005865FE">
        <w:rPr>
          <w:b/>
          <w:szCs w:val="24"/>
          <w:lang w:val="es-ES"/>
        </w:rPr>
        <w:t>[Agente de custodia]</w:t>
      </w:r>
    </w:p>
    <w:tbl>
      <w:tblPr>
        <w:tblW w:w="0" w:type="auto"/>
        <w:tblLayout w:type="fixed"/>
        <w:tblCellMar>
          <w:left w:w="0" w:type="dxa"/>
          <w:right w:w="0" w:type="dxa"/>
        </w:tblCellMar>
        <w:tblLook w:val="0000" w:firstRow="0" w:lastRow="0" w:firstColumn="0" w:lastColumn="0" w:noHBand="0" w:noVBand="0"/>
      </w:tblPr>
      <w:tblGrid>
        <w:gridCol w:w="4320"/>
        <w:gridCol w:w="721"/>
        <w:gridCol w:w="4319"/>
      </w:tblGrid>
      <w:tr w:rsidR="006B3412" w:rsidRPr="005865FE" w14:paraId="5C37BF5F" w14:textId="77777777">
        <w:trPr>
          <w:cantSplit/>
        </w:trPr>
        <w:tc>
          <w:tcPr>
            <w:tcW w:w="4320" w:type="dxa"/>
            <w:tcBorders>
              <w:bottom w:val="single" w:sz="4" w:space="0" w:color="auto"/>
            </w:tcBorders>
            <w:shd w:val="clear" w:color="auto" w:fill="auto"/>
          </w:tcPr>
          <w:p w14:paraId="0AEC5BF7" w14:textId="77777777" w:rsidR="006913AC" w:rsidRPr="005865FE" w:rsidRDefault="006913AC">
            <w:pPr>
              <w:pStyle w:val="TableTableau"/>
              <w:keepNext/>
              <w:rPr>
                <w:lang w:val="es-ES"/>
              </w:rPr>
            </w:pPr>
          </w:p>
          <w:p w14:paraId="2890BF17" w14:textId="77777777" w:rsidR="006913AC" w:rsidRPr="005865FE" w:rsidRDefault="006913AC">
            <w:pPr>
              <w:pStyle w:val="TableTableau"/>
              <w:keepNext/>
              <w:rPr>
                <w:lang w:val="es-ES"/>
              </w:rPr>
            </w:pPr>
          </w:p>
        </w:tc>
        <w:tc>
          <w:tcPr>
            <w:tcW w:w="721" w:type="dxa"/>
          </w:tcPr>
          <w:p w14:paraId="53FF9D36" w14:textId="77777777" w:rsidR="006913AC" w:rsidRPr="005865FE" w:rsidRDefault="006913AC">
            <w:pPr>
              <w:pStyle w:val="TableTableau"/>
              <w:keepNext/>
              <w:rPr>
                <w:lang w:val="es-ES"/>
              </w:rPr>
            </w:pPr>
          </w:p>
        </w:tc>
        <w:tc>
          <w:tcPr>
            <w:tcW w:w="4319" w:type="dxa"/>
          </w:tcPr>
          <w:p w14:paraId="103F01E1" w14:textId="77777777" w:rsidR="006913AC" w:rsidRPr="005865FE" w:rsidRDefault="006913AC">
            <w:pPr>
              <w:pStyle w:val="TableTableau"/>
              <w:keepNext/>
              <w:rPr>
                <w:lang w:val="es-ES"/>
              </w:rPr>
            </w:pPr>
          </w:p>
        </w:tc>
      </w:tr>
      <w:tr w:rsidR="006B3412" w:rsidRPr="005865FE" w14:paraId="17A99F10" w14:textId="77777777">
        <w:trPr>
          <w:cantSplit/>
        </w:trPr>
        <w:tc>
          <w:tcPr>
            <w:tcW w:w="4320" w:type="dxa"/>
            <w:tcBorders>
              <w:top w:val="single" w:sz="4" w:space="0" w:color="auto"/>
            </w:tcBorders>
            <w:shd w:val="clear" w:color="auto" w:fill="auto"/>
            <w:tcMar>
              <w:top w:w="0" w:type="dxa"/>
            </w:tcMar>
          </w:tcPr>
          <w:p w14:paraId="61B586E9" w14:textId="03EC6D42" w:rsidR="006913AC" w:rsidRPr="005865FE" w:rsidRDefault="003715B5">
            <w:pPr>
              <w:pStyle w:val="TableTableau"/>
              <w:keepNext/>
              <w:rPr>
                <w:lang w:val="es-ES"/>
              </w:rPr>
            </w:pPr>
            <w:r w:rsidRPr="005865FE">
              <w:rPr>
                <w:lang w:val="es-ES"/>
              </w:rPr>
              <w:t>Firmante autorizado</w:t>
            </w:r>
          </w:p>
        </w:tc>
        <w:tc>
          <w:tcPr>
            <w:tcW w:w="721" w:type="dxa"/>
            <w:tcMar>
              <w:top w:w="0" w:type="dxa"/>
            </w:tcMar>
          </w:tcPr>
          <w:p w14:paraId="0C058BF6" w14:textId="77777777" w:rsidR="006913AC" w:rsidRPr="005865FE" w:rsidRDefault="006913AC">
            <w:pPr>
              <w:pStyle w:val="TableTableau"/>
              <w:keepNext/>
              <w:rPr>
                <w:lang w:val="es-ES"/>
              </w:rPr>
            </w:pPr>
          </w:p>
        </w:tc>
        <w:tc>
          <w:tcPr>
            <w:tcW w:w="4319" w:type="dxa"/>
            <w:tcMar>
              <w:top w:w="0" w:type="dxa"/>
            </w:tcMar>
          </w:tcPr>
          <w:p w14:paraId="4BD724BF" w14:textId="77777777" w:rsidR="006913AC" w:rsidRPr="005865FE" w:rsidRDefault="006913AC">
            <w:pPr>
              <w:pStyle w:val="TableTableau"/>
              <w:keepNext/>
              <w:rPr>
                <w:lang w:val="es-ES"/>
              </w:rPr>
            </w:pPr>
          </w:p>
        </w:tc>
      </w:tr>
      <w:tr w:rsidR="006B3412" w:rsidRPr="005865FE" w14:paraId="4F887F82" w14:textId="77777777">
        <w:trPr>
          <w:cantSplit/>
        </w:trPr>
        <w:tc>
          <w:tcPr>
            <w:tcW w:w="4320" w:type="dxa"/>
            <w:tcBorders>
              <w:bottom w:val="single" w:sz="4" w:space="0" w:color="auto"/>
            </w:tcBorders>
            <w:shd w:val="clear" w:color="auto" w:fill="auto"/>
          </w:tcPr>
          <w:p w14:paraId="6147DCF6" w14:textId="77777777" w:rsidR="006913AC" w:rsidRPr="005865FE" w:rsidRDefault="006913AC">
            <w:pPr>
              <w:pStyle w:val="TableTableau"/>
              <w:keepNext/>
              <w:rPr>
                <w:lang w:val="es-ES"/>
              </w:rPr>
            </w:pPr>
          </w:p>
          <w:p w14:paraId="1CF4B365" w14:textId="77777777" w:rsidR="006913AC" w:rsidRPr="005865FE" w:rsidRDefault="006913AC">
            <w:pPr>
              <w:pStyle w:val="TableTableau"/>
              <w:keepNext/>
              <w:rPr>
                <w:lang w:val="es-ES"/>
              </w:rPr>
            </w:pPr>
          </w:p>
        </w:tc>
        <w:tc>
          <w:tcPr>
            <w:tcW w:w="721" w:type="dxa"/>
          </w:tcPr>
          <w:p w14:paraId="7292DDFD" w14:textId="77777777" w:rsidR="006913AC" w:rsidRPr="005865FE" w:rsidRDefault="006913AC">
            <w:pPr>
              <w:pStyle w:val="TableTableau"/>
              <w:keepNext/>
              <w:rPr>
                <w:lang w:val="es-ES"/>
              </w:rPr>
            </w:pPr>
          </w:p>
        </w:tc>
        <w:tc>
          <w:tcPr>
            <w:tcW w:w="4319" w:type="dxa"/>
          </w:tcPr>
          <w:p w14:paraId="075B2AE0" w14:textId="77777777" w:rsidR="006913AC" w:rsidRPr="005865FE" w:rsidRDefault="006913AC">
            <w:pPr>
              <w:pStyle w:val="TableTableau"/>
              <w:keepNext/>
              <w:rPr>
                <w:lang w:val="es-ES"/>
              </w:rPr>
            </w:pPr>
          </w:p>
        </w:tc>
      </w:tr>
      <w:tr w:rsidR="006B3412" w:rsidRPr="005865FE" w14:paraId="2BB9AA84" w14:textId="77777777">
        <w:trPr>
          <w:cantSplit/>
        </w:trPr>
        <w:tc>
          <w:tcPr>
            <w:tcW w:w="4320" w:type="dxa"/>
            <w:tcBorders>
              <w:top w:val="single" w:sz="4" w:space="0" w:color="auto"/>
            </w:tcBorders>
            <w:shd w:val="clear" w:color="auto" w:fill="auto"/>
            <w:tcMar>
              <w:top w:w="0" w:type="dxa"/>
            </w:tcMar>
          </w:tcPr>
          <w:p w14:paraId="4290778B" w14:textId="3F95B24C" w:rsidR="006913AC" w:rsidRPr="005865FE" w:rsidRDefault="003715B5">
            <w:pPr>
              <w:pStyle w:val="TableTableau"/>
              <w:keepNext/>
              <w:rPr>
                <w:b/>
                <w:lang w:val="es-ES"/>
              </w:rPr>
            </w:pPr>
            <w:r w:rsidRPr="005865FE">
              <w:rPr>
                <w:lang w:val="es-ES"/>
              </w:rPr>
              <w:t>Firmante autorizado</w:t>
            </w:r>
          </w:p>
        </w:tc>
        <w:tc>
          <w:tcPr>
            <w:tcW w:w="721" w:type="dxa"/>
            <w:tcMar>
              <w:top w:w="0" w:type="dxa"/>
            </w:tcMar>
          </w:tcPr>
          <w:p w14:paraId="3B46D6C1" w14:textId="77777777" w:rsidR="006913AC" w:rsidRPr="005865FE" w:rsidRDefault="006913AC">
            <w:pPr>
              <w:pStyle w:val="TableTableau"/>
              <w:keepNext/>
              <w:rPr>
                <w:lang w:val="es-ES"/>
              </w:rPr>
            </w:pPr>
          </w:p>
        </w:tc>
        <w:tc>
          <w:tcPr>
            <w:tcW w:w="4319" w:type="dxa"/>
            <w:tcMar>
              <w:top w:w="0" w:type="dxa"/>
            </w:tcMar>
          </w:tcPr>
          <w:p w14:paraId="27A979FD" w14:textId="77777777" w:rsidR="006913AC" w:rsidRPr="005865FE" w:rsidRDefault="006913AC">
            <w:pPr>
              <w:pStyle w:val="TableTableau"/>
              <w:keepNext/>
              <w:rPr>
                <w:lang w:val="es-ES"/>
              </w:rPr>
            </w:pPr>
          </w:p>
        </w:tc>
      </w:tr>
    </w:tbl>
    <w:p w14:paraId="0CCF47FF" w14:textId="77777777" w:rsidR="006913AC" w:rsidRPr="005865FE" w:rsidRDefault="006913AC">
      <w:pPr>
        <w:pStyle w:val="NoSpacing"/>
        <w:rPr>
          <w:lang w:val="es-ES"/>
        </w:rPr>
      </w:pPr>
    </w:p>
    <w:p w14:paraId="0709C467" w14:textId="77777777" w:rsidR="006913AC" w:rsidRPr="005865FE" w:rsidRDefault="004A7E52">
      <w:pPr>
        <w:pStyle w:val="BodyText"/>
        <w:rPr>
          <w:lang w:val="es-ES"/>
        </w:rPr>
      </w:pPr>
      <w:r w:rsidRPr="005865FE">
        <w:rPr>
          <w:b/>
          <w:szCs w:val="24"/>
          <w:lang w:val="es-ES"/>
        </w:rPr>
        <w:t>[Emisor]</w:t>
      </w:r>
    </w:p>
    <w:tbl>
      <w:tblPr>
        <w:tblW w:w="0" w:type="auto"/>
        <w:tblLayout w:type="fixed"/>
        <w:tblCellMar>
          <w:left w:w="0" w:type="dxa"/>
          <w:right w:w="0" w:type="dxa"/>
        </w:tblCellMar>
        <w:tblLook w:val="0000" w:firstRow="0" w:lastRow="0" w:firstColumn="0" w:lastColumn="0" w:noHBand="0" w:noVBand="0"/>
      </w:tblPr>
      <w:tblGrid>
        <w:gridCol w:w="4320"/>
        <w:gridCol w:w="721"/>
        <w:gridCol w:w="4319"/>
      </w:tblGrid>
      <w:tr w:rsidR="006B3412" w:rsidRPr="005865FE" w14:paraId="2A8D3DC5" w14:textId="77777777">
        <w:trPr>
          <w:cantSplit/>
        </w:trPr>
        <w:tc>
          <w:tcPr>
            <w:tcW w:w="4320" w:type="dxa"/>
            <w:tcBorders>
              <w:bottom w:val="single" w:sz="4" w:space="0" w:color="auto"/>
            </w:tcBorders>
            <w:shd w:val="clear" w:color="auto" w:fill="auto"/>
          </w:tcPr>
          <w:p w14:paraId="1CC050D4" w14:textId="77777777" w:rsidR="006913AC" w:rsidRPr="005865FE" w:rsidRDefault="006913AC">
            <w:pPr>
              <w:pStyle w:val="TableTableau"/>
              <w:keepNext/>
              <w:rPr>
                <w:lang w:val="es-ES"/>
              </w:rPr>
            </w:pPr>
          </w:p>
          <w:p w14:paraId="18E98B57" w14:textId="77777777" w:rsidR="006913AC" w:rsidRPr="005865FE" w:rsidRDefault="006913AC">
            <w:pPr>
              <w:pStyle w:val="TableTableau"/>
              <w:keepNext/>
              <w:rPr>
                <w:lang w:val="es-ES"/>
              </w:rPr>
            </w:pPr>
          </w:p>
        </w:tc>
        <w:tc>
          <w:tcPr>
            <w:tcW w:w="721" w:type="dxa"/>
          </w:tcPr>
          <w:p w14:paraId="52935688" w14:textId="77777777" w:rsidR="006913AC" w:rsidRPr="005865FE" w:rsidRDefault="006913AC">
            <w:pPr>
              <w:pStyle w:val="TableTableau"/>
              <w:keepNext/>
              <w:rPr>
                <w:lang w:val="es-ES"/>
              </w:rPr>
            </w:pPr>
          </w:p>
        </w:tc>
        <w:tc>
          <w:tcPr>
            <w:tcW w:w="4319" w:type="dxa"/>
          </w:tcPr>
          <w:p w14:paraId="796B75A5" w14:textId="77777777" w:rsidR="006913AC" w:rsidRPr="005865FE" w:rsidRDefault="006913AC">
            <w:pPr>
              <w:pStyle w:val="TableTableau"/>
              <w:keepNext/>
              <w:rPr>
                <w:lang w:val="es-ES"/>
              </w:rPr>
            </w:pPr>
          </w:p>
        </w:tc>
      </w:tr>
      <w:tr w:rsidR="006B3412" w:rsidRPr="005865FE" w14:paraId="0E238D4E" w14:textId="77777777">
        <w:trPr>
          <w:cantSplit/>
        </w:trPr>
        <w:tc>
          <w:tcPr>
            <w:tcW w:w="4320" w:type="dxa"/>
            <w:tcBorders>
              <w:top w:val="single" w:sz="4" w:space="0" w:color="auto"/>
            </w:tcBorders>
            <w:shd w:val="clear" w:color="auto" w:fill="auto"/>
            <w:tcMar>
              <w:top w:w="0" w:type="dxa"/>
            </w:tcMar>
          </w:tcPr>
          <w:p w14:paraId="078767BE" w14:textId="4B09B728" w:rsidR="006913AC" w:rsidRPr="005865FE" w:rsidRDefault="003715B5">
            <w:pPr>
              <w:pStyle w:val="TableTableau"/>
              <w:keepNext/>
              <w:rPr>
                <w:lang w:val="es-ES"/>
              </w:rPr>
            </w:pPr>
            <w:r w:rsidRPr="005865FE">
              <w:rPr>
                <w:lang w:val="es-ES"/>
              </w:rPr>
              <w:t>Firmante autorizado</w:t>
            </w:r>
          </w:p>
        </w:tc>
        <w:tc>
          <w:tcPr>
            <w:tcW w:w="721" w:type="dxa"/>
            <w:tcMar>
              <w:top w:w="0" w:type="dxa"/>
            </w:tcMar>
          </w:tcPr>
          <w:p w14:paraId="70A387D6" w14:textId="77777777" w:rsidR="006913AC" w:rsidRPr="005865FE" w:rsidRDefault="006913AC">
            <w:pPr>
              <w:pStyle w:val="TableTableau"/>
              <w:keepNext/>
              <w:rPr>
                <w:lang w:val="es-ES"/>
              </w:rPr>
            </w:pPr>
          </w:p>
        </w:tc>
        <w:tc>
          <w:tcPr>
            <w:tcW w:w="4319" w:type="dxa"/>
            <w:tcMar>
              <w:top w:w="0" w:type="dxa"/>
            </w:tcMar>
          </w:tcPr>
          <w:p w14:paraId="4C9F1633" w14:textId="77777777" w:rsidR="006913AC" w:rsidRPr="005865FE" w:rsidRDefault="006913AC">
            <w:pPr>
              <w:pStyle w:val="TableTableau"/>
              <w:keepNext/>
              <w:rPr>
                <w:lang w:val="es-ES"/>
              </w:rPr>
            </w:pPr>
          </w:p>
        </w:tc>
      </w:tr>
      <w:tr w:rsidR="006B3412" w:rsidRPr="005865FE" w14:paraId="53B630E2" w14:textId="77777777">
        <w:trPr>
          <w:cantSplit/>
        </w:trPr>
        <w:tc>
          <w:tcPr>
            <w:tcW w:w="4320" w:type="dxa"/>
            <w:tcBorders>
              <w:bottom w:val="single" w:sz="4" w:space="0" w:color="auto"/>
            </w:tcBorders>
            <w:shd w:val="clear" w:color="auto" w:fill="auto"/>
          </w:tcPr>
          <w:p w14:paraId="04F09699" w14:textId="77777777" w:rsidR="006913AC" w:rsidRPr="005865FE" w:rsidRDefault="006913AC">
            <w:pPr>
              <w:pStyle w:val="TableTableau"/>
              <w:keepNext/>
              <w:rPr>
                <w:lang w:val="es-ES"/>
              </w:rPr>
            </w:pPr>
          </w:p>
          <w:p w14:paraId="1CCE13F9" w14:textId="77777777" w:rsidR="006913AC" w:rsidRPr="005865FE" w:rsidRDefault="006913AC">
            <w:pPr>
              <w:pStyle w:val="TableTableau"/>
              <w:keepNext/>
              <w:rPr>
                <w:lang w:val="es-ES"/>
              </w:rPr>
            </w:pPr>
          </w:p>
        </w:tc>
        <w:tc>
          <w:tcPr>
            <w:tcW w:w="721" w:type="dxa"/>
          </w:tcPr>
          <w:p w14:paraId="28E0E743" w14:textId="77777777" w:rsidR="006913AC" w:rsidRPr="005865FE" w:rsidRDefault="006913AC">
            <w:pPr>
              <w:pStyle w:val="TableTableau"/>
              <w:keepNext/>
              <w:rPr>
                <w:lang w:val="es-ES"/>
              </w:rPr>
            </w:pPr>
          </w:p>
        </w:tc>
        <w:tc>
          <w:tcPr>
            <w:tcW w:w="4319" w:type="dxa"/>
          </w:tcPr>
          <w:p w14:paraId="5714CAD5" w14:textId="77777777" w:rsidR="006913AC" w:rsidRPr="005865FE" w:rsidRDefault="006913AC">
            <w:pPr>
              <w:pStyle w:val="TableTableau"/>
              <w:keepNext/>
              <w:rPr>
                <w:lang w:val="es-ES"/>
              </w:rPr>
            </w:pPr>
          </w:p>
        </w:tc>
      </w:tr>
      <w:tr w:rsidR="006B3412" w:rsidRPr="005865FE" w14:paraId="5BDE6217" w14:textId="77777777">
        <w:trPr>
          <w:cantSplit/>
        </w:trPr>
        <w:tc>
          <w:tcPr>
            <w:tcW w:w="4320" w:type="dxa"/>
            <w:tcBorders>
              <w:top w:val="single" w:sz="4" w:space="0" w:color="auto"/>
            </w:tcBorders>
            <w:shd w:val="clear" w:color="auto" w:fill="auto"/>
            <w:tcMar>
              <w:top w:w="0" w:type="dxa"/>
            </w:tcMar>
          </w:tcPr>
          <w:p w14:paraId="0F7E3056" w14:textId="5C40BADF" w:rsidR="006913AC" w:rsidRPr="005865FE" w:rsidRDefault="003715B5">
            <w:pPr>
              <w:pStyle w:val="TableTableau"/>
              <w:keepNext/>
              <w:rPr>
                <w:b/>
                <w:lang w:val="es-ES"/>
              </w:rPr>
            </w:pPr>
            <w:r w:rsidRPr="005865FE">
              <w:rPr>
                <w:lang w:val="es-ES"/>
              </w:rPr>
              <w:t>Firmante autorizado</w:t>
            </w:r>
          </w:p>
        </w:tc>
        <w:tc>
          <w:tcPr>
            <w:tcW w:w="721" w:type="dxa"/>
            <w:tcMar>
              <w:top w:w="0" w:type="dxa"/>
            </w:tcMar>
          </w:tcPr>
          <w:p w14:paraId="77110BBC" w14:textId="77777777" w:rsidR="006913AC" w:rsidRPr="005865FE" w:rsidRDefault="006913AC">
            <w:pPr>
              <w:pStyle w:val="TableTableau"/>
              <w:keepNext/>
              <w:rPr>
                <w:lang w:val="es-ES"/>
              </w:rPr>
            </w:pPr>
          </w:p>
        </w:tc>
        <w:tc>
          <w:tcPr>
            <w:tcW w:w="4319" w:type="dxa"/>
            <w:tcMar>
              <w:top w:w="0" w:type="dxa"/>
            </w:tcMar>
          </w:tcPr>
          <w:p w14:paraId="63FC29D9" w14:textId="77777777" w:rsidR="006913AC" w:rsidRPr="005865FE" w:rsidRDefault="006913AC">
            <w:pPr>
              <w:pStyle w:val="TableTableau"/>
              <w:keepNext/>
              <w:rPr>
                <w:lang w:val="es-ES"/>
              </w:rPr>
            </w:pPr>
          </w:p>
        </w:tc>
      </w:tr>
    </w:tbl>
    <w:p w14:paraId="7D65FAA6" w14:textId="77777777" w:rsidR="006913AC" w:rsidRPr="005865FE" w:rsidRDefault="006913AC">
      <w:pPr>
        <w:pStyle w:val="NoSpacing"/>
        <w:rPr>
          <w:lang w:val="es-ES"/>
        </w:rPr>
      </w:pPr>
    </w:p>
    <w:p w14:paraId="4C4D9A88" w14:textId="77777777" w:rsidR="00AD7A44" w:rsidRPr="005865FE" w:rsidRDefault="00AD7A44">
      <w:pPr>
        <w:pStyle w:val="NoSpacing"/>
        <w:rPr>
          <w:lang w:val="es-ES"/>
        </w:rPr>
      </w:pPr>
    </w:p>
    <w:p w14:paraId="582E205B" w14:textId="4331BC0B" w:rsidR="006913AC" w:rsidRPr="005865FE" w:rsidRDefault="00314F39">
      <w:pPr>
        <w:pStyle w:val="BodyText"/>
        <w:rPr>
          <w:lang w:val="es-ES"/>
        </w:rPr>
      </w:pPr>
      <w:r w:rsidRPr="005865FE">
        <w:rPr>
          <w:lang w:val="es-ES"/>
        </w:rPr>
        <w:t>Si el tenedor de valores es una persona física:</w:t>
      </w:r>
    </w:p>
    <w:tbl>
      <w:tblPr>
        <w:tblW w:w="4910" w:type="dxa"/>
        <w:tblInd w:w="8" w:type="dxa"/>
        <w:tblLayout w:type="fixed"/>
        <w:tblCellMar>
          <w:left w:w="0" w:type="dxa"/>
          <w:right w:w="0" w:type="dxa"/>
        </w:tblCellMar>
        <w:tblLook w:val="0000" w:firstRow="0" w:lastRow="0" w:firstColumn="0" w:lastColumn="0" w:noHBand="0" w:noVBand="0"/>
      </w:tblPr>
      <w:tblGrid>
        <w:gridCol w:w="4262"/>
        <w:gridCol w:w="648"/>
      </w:tblGrid>
      <w:tr w:rsidR="006B3412" w:rsidRPr="00E81881" w14:paraId="542ED91C" w14:textId="77777777" w:rsidTr="00D574E6">
        <w:trPr>
          <w:cantSplit/>
        </w:trPr>
        <w:tc>
          <w:tcPr>
            <w:tcW w:w="4262" w:type="dxa"/>
            <w:tcBorders>
              <w:bottom w:val="single" w:sz="4" w:space="0" w:color="auto"/>
            </w:tcBorders>
            <w:shd w:val="clear" w:color="auto" w:fill="auto"/>
          </w:tcPr>
          <w:p w14:paraId="7C9C31CD" w14:textId="77777777" w:rsidR="00D574E6" w:rsidRPr="005865FE" w:rsidRDefault="00D574E6">
            <w:pPr>
              <w:pStyle w:val="TableTableau"/>
              <w:keepNext/>
              <w:rPr>
                <w:lang w:val="es-ES"/>
              </w:rPr>
            </w:pPr>
          </w:p>
          <w:p w14:paraId="0F2F7126" w14:textId="77777777" w:rsidR="00971347" w:rsidRPr="005865FE" w:rsidRDefault="00971347">
            <w:pPr>
              <w:pStyle w:val="TableTableau"/>
              <w:keepNext/>
              <w:rPr>
                <w:lang w:val="es-ES"/>
              </w:rPr>
            </w:pPr>
          </w:p>
          <w:p w14:paraId="2A147308" w14:textId="77777777" w:rsidR="00212386" w:rsidRPr="005865FE" w:rsidRDefault="00212386">
            <w:pPr>
              <w:pStyle w:val="TableTableau"/>
              <w:keepNext/>
              <w:rPr>
                <w:lang w:val="es-ES"/>
              </w:rPr>
            </w:pPr>
          </w:p>
        </w:tc>
        <w:tc>
          <w:tcPr>
            <w:tcW w:w="648" w:type="dxa"/>
          </w:tcPr>
          <w:p w14:paraId="6D8DC488" w14:textId="77777777" w:rsidR="00D574E6" w:rsidRPr="005865FE" w:rsidRDefault="00D574E6">
            <w:pPr>
              <w:pStyle w:val="TableTableau"/>
              <w:keepNext/>
              <w:ind w:left="144"/>
              <w:rPr>
                <w:lang w:val="es-ES"/>
              </w:rPr>
            </w:pPr>
          </w:p>
          <w:p w14:paraId="72B9924F" w14:textId="77777777" w:rsidR="00D574E6" w:rsidRPr="005865FE" w:rsidRDefault="00D574E6">
            <w:pPr>
              <w:pStyle w:val="TableTableau"/>
              <w:keepNext/>
              <w:ind w:left="144"/>
              <w:rPr>
                <w:lang w:val="es-ES"/>
              </w:rPr>
            </w:pPr>
          </w:p>
        </w:tc>
      </w:tr>
    </w:tbl>
    <w:p w14:paraId="244BDD1E" w14:textId="77777777" w:rsidR="006913AC" w:rsidRPr="005865FE" w:rsidRDefault="004A7E52">
      <w:pPr>
        <w:pStyle w:val="NoSpacing"/>
        <w:rPr>
          <w:b/>
          <w:lang w:val="es-ES"/>
        </w:rPr>
      </w:pPr>
      <w:r w:rsidRPr="005865FE">
        <w:rPr>
          <w:b/>
          <w:lang w:val="es-ES"/>
        </w:rPr>
        <w:t>Domicilio</w:t>
      </w:r>
    </w:p>
    <w:p w14:paraId="0D6E887D" w14:textId="77777777" w:rsidR="00AD7A44" w:rsidRPr="005865FE" w:rsidRDefault="00AD7A44">
      <w:pPr>
        <w:pStyle w:val="NoSpacing"/>
        <w:rPr>
          <w:lang w:val="es-ES"/>
        </w:rPr>
      </w:pPr>
    </w:p>
    <w:p w14:paraId="6476ECEA" w14:textId="77777777" w:rsidR="00971347" w:rsidRPr="005865FE" w:rsidRDefault="00971347">
      <w:pPr>
        <w:pStyle w:val="NoSpacing"/>
        <w:rPr>
          <w:lang w:val="es-ES"/>
        </w:rPr>
      </w:pPr>
    </w:p>
    <w:p w14:paraId="416BAE1D" w14:textId="77777777" w:rsidR="00971347" w:rsidRPr="005865FE" w:rsidRDefault="00971347">
      <w:pPr>
        <w:pStyle w:val="NoSpacing"/>
        <w:rPr>
          <w:lang w:val="es-ES"/>
        </w:rPr>
      </w:pPr>
    </w:p>
    <w:p w14:paraId="5B0377F5" w14:textId="7AD62C39" w:rsidR="006913AC" w:rsidRPr="005865FE" w:rsidRDefault="00482A1D">
      <w:pPr>
        <w:pStyle w:val="BodyText"/>
        <w:rPr>
          <w:lang w:val="es-ES"/>
        </w:rPr>
      </w:pPr>
      <w:r w:rsidRPr="005865FE">
        <w:rPr>
          <w:lang w:val="es-ES"/>
        </w:rPr>
        <w:t xml:space="preserve">Si el tenedor de valores </w:t>
      </w:r>
      <w:r w:rsidR="00501F45">
        <w:rPr>
          <w:lang w:val="es-ES"/>
        </w:rPr>
        <w:t xml:space="preserve">no </w:t>
      </w:r>
      <w:r w:rsidR="00501F45" w:rsidRPr="005865FE">
        <w:rPr>
          <w:lang w:val="es-ES"/>
        </w:rPr>
        <w:t>es una persona física</w:t>
      </w:r>
      <w:r w:rsidRPr="005865FE">
        <w:rPr>
          <w:lang w:val="es-ES"/>
        </w:rPr>
        <w:t>:</w:t>
      </w:r>
    </w:p>
    <w:p w14:paraId="2F1DE1A6" w14:textId="77777777" w:rsidR="006913AC" w:rsidRPr="005865FE" w:rsidRDefault="004A7E52">
      <w:pPr>
        <w:pStyle w:val="BodyText"/>
        <w:rPr>
          <w:lang w:val="es-ES"/>
        </w:rPr>
      </w:pPr>
      <w:r w:rsidRPr="005865FE">
        <w:rPr>
          <w:b/>
          <w:szCs w:val="24"/>
          <w:lang w:val="es-ES"/>
        </w:rPr>
        <w:t>Domicilio</w:t>
      </w:r>
    </w:p>
    <w:tbl>
      <w:tblPr>
        <w:tblW w:w="0" w:type="auto"/>
        <w:tblLayout w:type="fixed"/>
        <w:tblCellMar>
          <w:left w:w="0" w:type="dxa"/>
          <w:right w:w="0" w:type="dxa"/>
        </w:tblCellMar>
        <w:tblLook w:val="0000" w:firstRow="0" w:lastRow="0" w:firstColumn="0" w:lastColumn="0" w:noHBand="0" w:noVBand="0"/>
      </w:tblPr>
      <w:tblGrid>
        <w:gridCol w:w="4320"/>
        <w:gridCol w:w="721"/>
        <w:gridCol w:w="4319"/>
      </w:tblGrid>
      <w:tr w:rsidR="006B3412" w:rsidRPr="005865FE" w14:paraId="0EB539B2" w14:textId="77777777">
        <w:trPr>
          <w:cantSplit/>
        </w:trPr>
        <w:tc>
          <w:tcPr>
            <w:tcW w:w="4320" w:type="dxa"/>
            <w:tcBorders>
              <w:bottom w:val="single" w:sz="4" w:space="0" w:color="auto"/>
            </w:tcBorders>
            <w:shd w:val="clear" w:color="auto" w:fill="auto"/>
          </w:tcPr>
          <w:p w14:paraId="28666982" w14:textId="77777777" w:rsidR="006913AC" w:rsidRPr="005865FE" w:rsidRDefault="006913AC">
            <w:pPr>
              <w:pStyle w:val="TableTableau"/>
              <w:keepNext/>
              <w:rPr>
                <w:lang w:val="es-ES"/>
              </w:rPr>
            </w:pPr>
          </w:p>
          <w:p w14:paraId="7BEA6FA6" w14:textId="77777777" w:rsidR="006913AC" w:rsidRPr="005865FE" w:rsidRDefault="006913AC">
            <w:pPr>
              <w:pStyle w:val="TableTableau"/>
              <w:keepNext/>
              <w:rPr>
                <w:lang w:val="es-ES"/>
              </w:rPr>
            </w:pPr>
          </w:p>
        </w:tc>
        <w:tc>
          <w:tcPr>
            <w:tcW w:w="721" w:type="dxa"/>
          </w:tcPr>
          <w:p w14:paraId="6BCA21D2" w14:textId="77777777" w:rsidR="006913AC" w:rsidRPr="005865FE" w:rsidRDefault="006913AC">
            <w:pPr>
              <w:pStyle w:val="TableTableau"/>
              <w:keepNext/>
              <w:rPr>
                <w:lang w:val="es-ES"/>
              </w:rPr>
            </w:pPr>
          </w:p>
        </w:tc>
        <w:tc>
          <w:tcPr>
            <w:tcW w:w="4319" w:type="dxa"/>
          </w:tcPr>
          <w:p w14:paraId="4480727F" w14:textId="77777777" w:rsidR="006913AC" w:rsidRPr="005865FE" w:rsidRDefault="006913AC">
            <w:pPr>
              <w:pStyle w:val="TableTableau"/>
              <w:keepNext/>
              <w:rPr>
                <w:lang w:val="es-ES"/>
              </w:rPr>
            </w:pPr>
          </w:p>
        </w:tc>
      </w:tr>
      <w:tr w:rsidR="006B3412" w:rsidRPr="005865FE" w14:paraId="2EDBA5C4" w14:textId="77777777">
        <w:trPr>
          <w:cantSplit/>
        </w:trPr>
        <w:tc>
          <w:tcPr>
            <w:tcW w:w="4320" w:type="dxa"/>
            <w:tcBorders>
              <w:top w:val="single" w:sz="4" w:space="0" w:color="auto"/>
            </w:tcBorders>
            <w:shd w:val="clear" w:color="auto" w:fill="auto"/>
            <w:tcMar>
              <w:top w:w="0" w:type="dxa"/>
            </w:tcMar>
          </w:tcPr>
          <w:p w14:paraId="5973270C" w14:textId="5B544B88" w:rsidR="006913AC" w:rsidRPr="005865FE" w:rsidRDefault="003715B5">
            <w:pPr>
              <w:pStyle w:val="TableTableau"/>
              <w:keepNext/>
              <w:rPr>
                <w:lang w:val="es-ES"/>
              </w:rPr>
            </w:pPr>
            <w:r w:rsidRPr="005865FE">
              <w:rPr>
                <w:lang w:val="es-ES"/>
              </w:rPr>
              <w:t>Firmante autorizado</w:t>
            </w:r>
          </w:p>
        </w:tc>
        <w:tc>
          <w:tcPr>
            <w:tcW w:w="721" w:type="dxa"/>
            <w:tcMar>
              <w:top w:w="0" w:type="dxa"/>
            </w:tcMar>
          </w:tcPr>
          <w:p w14:paraId="31ADD8D8" w14:textId="77777777" w:rsidR="006913AC" w:rsidRPr="005865FE" w:rsidRDefault="006913AC">
            <w:pPr>
              <w:pStyle w:val="TableTableau"/>
              <w:keepNext/>
              <w:rPr>
                <w:lang w:val="es-ES"/>
              </w:rPr>
            </w:pPr>
          </w:p>
        </w:tc>
        <w:tc>
          <w:tcPr>
            <w:tcW w:w="4319" w:type="dxa"/>
            <w:tcMar>
              <w:top w:w="0" w:type="dxa"/>
            </w:tcMar>
          </w:tcPr>
          <w:p w14:paraId="75649601" w14:textId="77777777" w:rsidR="006913AC" w:rsidRPr="005865FE" w:rsidRDefault="006913AC">
            <w:pPr>
              <w:pStyle w:val="TableTableau"/>
              <w:keepNext/>
              <w:rPr>
                <w:lang w:val="es-ES"/>
              </w:rPr>
            </w:pPr>
          </w:p>
        </w:tc>
      </w:tr>
      <w:tr w:rsidR="006B3412" w:rsidRPr="005865FE" w14:paraId="4420D11D" w14:textId="77777777">
        <w:trPr>
          <w:cantSplit/>
        </w:trPr>
        <w:tc>
          <w:tcPr>
            <w:tcW w:w="4320" w:type="dxa"/>
            <w:tcBorders>
              <w:bottom w:val="single" w:sz="4" w:space="0" w:color="auto"/>
            </w:tcBorders>
            <w:shd w:val="clear" w:color="auto" w:fill="auto"/>
          </w:tcPr>
          <w:p w14:paraId="3B731E5B" w14:textId="77777777" w:rsidR="006913AC" w:rsidRPr="005865FE" w:rsidRDefault="006913AC">
            <w:pPr>
              <w:pStyle w:val="TableTableau"/>
              <w:keepNext/>
              <w:rPr>
                <w:lang w:val="es-ES"/>
              </w:rPr>
            </w:pPr>
          </w:p>
          <w:p w14:paraId="4A604DD8" w14:textId="77777777" w:rsidR="006913AC" w:rsidRPr="005865FE" w:rsidRDefault="006913AC">
            <w:pPr>
              <w:pStyle w:val="TableTableau"/>
              <w:keepNext/>
              <w:rPr>
                <w:lang w:val="es-ES"/>
              </w:rPr>
            </w:pPr>
          </w:p>
        </w:tc>
        <w:tc>
          <w:tcPr>
            <w:tcW w:w="721" w:type="dxa"/>
          </w:tcPr>
          <w:p w14:paraId="6B972791" w14:textId="77777777" w:rsidR="006913AC" w:rsidRPr="005865FE" w:rsidRDefault="006913AC">
            <w:pPr>
              <w:pStyle w:val="TableTableau"/>
              <w:keepNext/>
              <w:rPr>
                <w:lang w:val="es-ES"/>
              </w:rPr>
            </w:pPr>
          </w:p>
        </w:tc>
        <w:tc>
          <w:tcPr>
            <w:tcW w:w="4319" w:type="dxa"/>
          </w:tcPr>
          <w:p w14:paraId="20D5C630" w14:textId="77777777" w:rsidR="006913AC" w:rsidRPr="005865FE" w:rsidRDefault="006913AC">
            <w:pPr>
              <w:pStyle w:val="TableTableau"/>
              <w:keepNext/>
              <w:rPr>
                <w:lang w:val="es-ES"/>
              </w:rPr>
            </w:pPr>
          </w:p>
        </w:tc>
      </w:tr>
      <w:tr w:rsidR="006B3412" w:rsidRPr="005865FE" w14:paraId="172874E2" w14:textId="77777777">
        <w:trPr>
          <w:cantSplit/>
        </w:trPr>
        <w:tc>
          <w:tcPr>
            <w:tcW w:w="4320" w:type="dxa"/>
            <w:tcBorders>
              <w:top w:val="single" w:sz="4" w:space="0" w:color="auto"/>
            </w:tcBorders>
            <w:shd w:val="clear" w:color="auto" w:fill="auto"/>
            <w:tcMar>
              <w:top w:w="0" w:type="dxa"/>
            </w:tcMar>
          </w:tcPr>
          <w:p w14:paraId="3A032FC9" w14:textId="4E556812" w:rsidR="006913AC" w:rsidRPr="005865FE" w:rsidRDefault="003715B5">
            <w:pPr>
              <w:pStyle w:val="TableTableau"/>
              <w:keepNext/>
              <w:rPr>
                <w:b/>
                <w:lang w:val="es-ES"/>
              </w:rPr>
            </w:pPr>
            <w:r w:rsidRPr="005865FE">
              <w:rPr>
                <w:lang w:val="es-ES"/>
              </w:rPr>
              <w:t>Firmante autorizado</w:t>
            </w:r>
          </w:p>
        </w:tc>
        <w:tc>
          <w:tcPr>
            <w:tcW w:w="721" w:type="dxa"/>
            <w:tcMar>
              <w:top w:w="0" w:type="dxa"/>
            </w:tcMar>
          </w:tcPr>
          <w:p w14:paraId="274CFB3A" w14:textId="77777777" w:rsidR="006913AC" w:rsidRPr="005865FE" w:rsidRDefault="006913AC">
            <w:pPr>
              <w:pStyle w:val="TableTableau"/>
              <w:keepNext/>
              <w:rPr>
                <w:lang w:val="es-ES"/>
              </w:rPr>
            </w:pPr>
          </w:p>
        </w:tc>
        <w:tc>
          <w:tcPr>
            <w:tcW w:w="4319" w:type="dxa"/>
            <w:tcMar>
              <w:top w:w="0" w:type="dxa"/>
            </w:tcMar>
          </w:tcPr>
          <w:p w14:paraId="4F4EA54E" w14:textId="77777777" w:rsidR="006913AC" w:rsidRPr="005865FE" w:rsidRDefault="006913AC">
            <w:pPr>
              <w:pStyle w:val="TableTableau"/>
              <w:keepNext/>
              <w:rPr>
                <w:lang w:val="es-ES"/>
              </w:rPr>
            </w:pPr>
          </w:p>
        </w:tc>
      </w:tr>
    </w:tbl>
    <w:p w14:paraId="0618C9E3" w14:textId="77777777" w:rsidR="006913AC" w:rsidRPr="005865FE" w:rsidRDefault="006913AC">
      <w:pPr>
        <w:rPr>
          <w:lang w:val="es-ES"/>
        </w:rPr>
      </w:pPr>
    </w:p>
    <w:p w14:paraId="0005BD65" w14:textId="77777777" w:rsidR="006913AC" w:rsidRPr="005865FE" w:rsidRDefault="006913AC">
      <w:pPr>
        <w:rPr>
          <w:lang w:val="es-ES"/>
        </w:rPr>
        <w:sectPr w:rsidR="006913AC" w:rsidRPr="005865FE">
          <w:footerReference w:type="default" r:id="rId8"/>
          <w:footerReference w:type="first" r:id="rId9"/>
          <w:pgSz w:w="12240" w:h="15840" w:code="1"/>
          <w:pgMar w:top="1440" w:right="1440" w:bottom="1296" w:left="1440" w:header="720" w:footer="504" w:gutter="0"/>
          <w:cols w:space="708"/>
          <w:titlePg/>
          <w:docGrid w:linePitch="360"/>
        </w:sectPr>
      </w:pPr>
    </w:p>
    <w:p w14:paraId="773F7A72" w14:textId="2F1BD8EF" w:rsidR="006913AC" w:rsidRPr="005865FE" w:rsidRDefault="00FA7273">
      <w:pPr>
        <w:pStyle w:val="Subtitle"/>
        <w:rPr>
          <w:lang w:val="es-ES"/>
        </w:rPr>
      </w:pPr>
      <w:r w:rsidRPr="005865FE">
        <w:rPr>
          <w:lang w:val="es-ES"/>
        </w:rPr>
        <w:t>ANEXO “A”</w:t>
      </w:r>
    </w:p>
    <w:p w14:paraId="59494E71" w14:textId="5F21F419" w:rsidR="00216CAF" w:rsidRPr="005865FE" w:rsidRDefault="00F276CE">
      <w:pPr>
        <w:pStyle w:val="Subtitle"/>
        <w:rPr>
          <w:lang w:val="es-ES"/>
        </w:rPr>
      </w:pPr>
      <w:r w:rsidRPr="005865FE">
        <w:rPr>
          <w:lang w:val="es-ES"/>
        </w:rPr>
        <w:t>VALORES EN CUSTODIA</w:t>
      </w:r>
    </w:p>
    <w:p w14:paraId="6C532362" w14:textId="465E256D" w:rsidR="006913AC" w:rsidRPr="005865FE" w:rsidRDefault="009D11D1">
      <w:pPr>
        <w:pStyle w:val="BodyText"/>
        <w:rPr>
          <w:b/>
          <w:u w:val="single"/>
          <w:lang w:val="es-ES"/>
        </w:rPr>
      </w:pPr>
      <w:r w:rsidRPr="005865FE">
        <w:rPr>
          <w:b/>
          <w:u w:val="single"/>
          <w:lang w:val="es-ES"/>
        </w:rPr>
        <w:t>Tenedor de valores</w:t>
      </w:r>
    </w:p>
    <w:p w14:paraId="4C815ABD" w14:textId="77777777" w:rsidR="006913AC" w:rsidRPr="005865FE" w:rsidRDefault="004A7E52">
      <w:pPr>
        <w:pStyle w:val="BodyText"/>
        <w:rPr>
          <w:b/>
          <w:lang w:val="es-ES"/>
        </w:rPr>
      </w:pPr>
      <w:r w:rsidRPr="005865FE">
        <w:rPr>
          <w:b/>
          <w:lang w:val="es-ES"/>
        </w:rPr>
        <w:t>Nombre:</w:t>
      </w:r>
    </w:p>
    <w:p w14:paraId="1982F37B" w14:textId="77777777" w:rsidR="006913AC" w:rsidRPr="005865FE" w:rsidRDefault="004A7E52">
      <w:pPr>
        <w:pStyle w:val="BodyText"/>
        <w:rPr>
          <w:b/>
          <w:lang w:val="es-ES"/>
        </w:rPr>
      </w:pPr>
      <w:r w:rsidRPr="005865FE">
        <w:rPr>
          <w:b/>
          <w:lang w:val="es-ES"/>
        </w:rPr>
        <w:t>Firma:</w:t>
      </w:r>
    </w:p>
    <w:p w14:paraId="4FC381F6" w14:textId="77777777" w:rsidR="006913AC" w:rsidRPr="005865FE" w:rsidRDefault="004A7E52">
      <w:pPr>
        <w:pStyle w:val="BodyText"/>
        <w:rPr>
          <w:b/>
          <w:bCs/>
          <w:lang w:val="es-ES"/>
        </w:rPr>
      </w:pPr>
      <w:r w:rsidRPr="005865FE">
        <w:rPr>
          <w:b/>
          <w:bCs/>
          <w:lang w:val="es-ES"/>
        </w:rPr>
        <w:t>Domicilio para notificaciones:</w:t>
      </w:r>
    </w:p>
    <w:p w14:paraId="1A5D90C3" w14:textId="77777777" w:rsidR="006913AC" w:rsidRPr="005865FE" w:rsidRDefault="006913AC">
      <w:pPr>
        <w:pStyle w:val="NoSpacing"/>
        <w:rPr>
          <w:lang w:val="es-ES"/>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6"/>
      </w:tblGrid>
      <w:tr w:rsidR="006B3412" w:rsidRPr="005865FE" w14:paraId="6B9D0484" w14:textId="77777777" w:rsidTr="00BE4C0D">
        <w:trPr>
          <w:cantSplit/>
        </w:trPr>
        <w:tc>
          <w:tcPr>
            <w:tcW w:w="9576" w:type="dxa"/>
            <w:tcBorders>
              <w:bottom w:val="single" w:sz="4" w:space="0" w:color="auto"/>
            </w:tcBorders>
            <w:shd w:val="clear" w:color="auto" w:fill="auto"/>
          </w:tcPr>
          <w:p w14:paraId="12874CE1" w14:textId="77777777" w:rsidR="006913AC" w:rsidRPr="005865FE" w:rsidRDefault="006913AC">
            <w:pPr>
              <w:pStyle w:val="TableTableau"/>
              <w:spacing w:line="360" w:lineRule="auto"/>
              <w:rPr>
                <w:b/>
                <w:color w:val="auto"/>
                <w:lang w:val="es-ES"/>
              </w:rPr>
            </w:pPr>
          </w:p>
        </w:tc>
      </w:tr>
      <w:tr w:rsidR="006B3412" w:rsidRPr="005865FE" w14:paraId="3594EE25" w14:textId="77777777" w:rsidTr="00BE4C0D">
        <w:trPr>
          <w:cantSplit/>
        </w:trPr>
        <w:tc>
          <w:tcPr>
            <w:tcW w:w="9576" w:type="dxa"/>
            <w:tcBorders>
              <w:top w:val="single" w:sz="4" w:space="0" w:color="auto"/>
              <w:bottom w:val="single" w:sz="4" w:space="0" w:color="auto"/>
            </w:tcBorders>
            <w:shd w:val="clear" w:color="auto" w:fill="auto"/>
          </w:tcPr>
          <w:p w14:paraId="01C31F50" w14:textId="77777777" w:rsidR="006913AC" w:rsidRPr="005865FE" w:rsidRDefault="006913AC">
            <w:pPr>
              <w:pStyle w:val="TableTableau"/>
              <w:spacing w:line="360" w:lineRule="auto"/>
              <w:rPr>
                <w:b/>
                <w:color w:val="auto"/>
                <w:lang w:val="es-ES"/>
              </w:rPr>
            </w:pPr>
          </w:p>
        </w:tc>
      </w:tr>
      <w:tr w:rsidR="006B3412" w:rsidRPr="005865FE" w14:paraId="41BCF51A" w14:textId="77777777" w:rsidTr="00BE4C0D">
        <w:trPr>
          <w:cantSplit/>
        </w:trPr>
        <w:tc>
          <w:tcPr>
            <w:tcW w:w="9576" w:type="dxa"/>
            <w:tcBorders>
              <w:top w:val="single" w:sz="4" w:space="0" w:color="auto"/>
              <w:bottom w:val="single" w:sz="4" w:space="0" w:color="auto"/>
            </w:tcBorders>
            <w:shd w:val="clear" w:color="auto" w:fill="auto"/>
          </w:tcPr>
          <w:p w14:paraId="2D80D01F" w14:textId="77777777" w:rsidR="006913AC" w:rsidRPr="005865FE" w:rsidRDefault="006913AC">
            <w:pPr>
              <w:pStyle w:val="TableTableau"/>
              <w:spacing w:line="360" w:lineRule="auto"/>
              <w:rPr>
                <w:b/>
                <w:color w:val="auto"/>
                <w:lang w:val="es-ES"/>
              </w:rPr>
            </w:pPr>
          </w:p>
        </w:tc>
      </w:tr>
    </w:tbl>
    <w:p w14:paraId="0913B6FF" w14:textId="455E8AB0" w:rsidR="00BE4C0D" w:rsidRPr="005865FE" w:rsidRDefault="008A6D36" w:rsidP="00BE4C0D">
      <w:pPr>
        <w:pStyle w:val="BodyText"/>
        <w:keepNext/>
        <w:rPr>
          <w:b/>
          <w:szCs w:val="24"/>
          <w:lang w:val="es-ES"/>
        </w:rPr>
      </w:pPr>
      <w:r w:rsidRPr="005865FE">
        <w:rPr>
          <w:b/>
          <w:szCs w:val="24"/>
          <w:lang w:val="es-ES"/>
        </w:rPr>
        <w:t>Acciones o unidades:</w:t>
      </w:r>
    </w:p>
    <w:p w14:paraId="5460123A" w14:textId="77777777" w:rsidR="00BE4C0D" w:rsidRPr="005865FE" w:rsidRDefault="00BE4C0D" w:rsidP="00BE4C0D">
      <w:pPr>
        <w:pStyle w:val="NoSpacing"/>
        <w:keepNext/>
        <w:rPr>
          <w:lang w:val="es-ES"/>
        </w:rPr>
      </w:pP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90"/>
        <w:gridCol w:w="3060"/>
        <w:gridCol w:w="3060"/>
      </w:tblGrid>
      <w:tr w:rsidR="006B3412" w:rsidRPr="005865FE" w14:paraId="0EDC0C3A" w14:textId="77777777" w:rsidTr="005044D2">
        <w:tc>
          <w:tcPr>
            <w:tcW w:w="2790" w:type="dxa"/>
            <w:tcBorders>
              <w:top w:val="single" w:sz="12" w:space="0" w:color="auto"/>
              <w:bottom w:val="nil"/>
            </w:tcBorders>
          </w:tcPr>
          <w:p w14:paraId="04A820C0" w14:textId="77777777" w:rsidR="00BE4C0D" w:rsidRPr="005865FE" w:rsidRDefault="004A7E52" w:rsidP="005044D2">
            <w:pPr>
              <w:spacing w:line="0" w:lineRule="atLeast"/>
              <w:jc w:val="both"/>
              <w:rPr>
                <w:i/>
                <w:szCs w:val="24"/>
                <w:lang w:val="es-ES"/>
              </w:rPr>
            </w:pPr>
            <w:r w:rsidRPr="005865FE">
              <w:rPr>
                <w:b/>
                <w:i/>
                <w:szCs w:val="24"/>
                <w:lang w:val="es-ES"/>
              </w:rPr>
              <w:t>Clase o descripción</w:t>
            </w:r>
          </w:p>
        </w:tc>
        <w:tc>
          <w:tcPr>
            <w:tcW w:w="3060" w:type="dxa"/>
            <w:tcBorders>
              <w:top w:val="single" w:sz="12" w:space="0" w:color="auto"/>
              <w:bottom w:val="nil"/>
            </w:tcBorders>
          </w:tcPr>
          <w:p w14:paraId="40FD2BE2" w14:textId="77777777" w:rsidR="00BE4C0D" w:rsidRPr="005865FE" w:rsidRDefault="004A7E52" w:rsidP="005044D2">
            <w:pPr>
              <w:spacing w:line="0" w:lineRule="atLeast"/>
              <w:jc w:val="both"/>
              <w:rPr>
                <w:i/>
                <w:szCs w:val="24"/>
                <w:lang w:val="es-ES"/>
              </w:rPr>
            </w:pPr>
            <w:r w:rsidRPr="005865FE">
              <w:rPr>
                <w:b/>
                <w:i/>
                <w:szCs w:val="24"/>
                <w:lang w:val="es-ES"/>
              </w:rPr>
              <w:t>Número</w:t>
            </w:r>
          </w:p>
        </w:tc>
        <w:tc>
          <w:tcPr>
            <w:tcW w:w="3060" w:type="dxa"/>
            <w:tcBorders>
              <w:top w:val="single" w:sz="12" w:space="0" w:color="auto"/>
              <w:bottom w:val="nil"/>
            </w:tcBorders>
          </w:tcPr>
          <w:p w14:paraId="4B89578A" w14:textId="403F83F8" w:rsidR="00BE4C0D" w:rsidRPr="005865FE" w:rsidRDefault="00B97A81" w:rsidP="005044D2">
            <w:pPr>
              <w:spacing w:line="0" w:lineRule="atLeast"/>
              <w:rPr>
                <w:b/>
                <w:i/>
                <w:szCs w:val="24"/>
                <w:lang w:val="es-ES"/>
              </w:rPr>
            </w:pPr>
            <w:r w:rsidRPr="005865FE">
              <w:rPr>
                <w:b/>
                <w:i/>
                <w:szCs w:val="24"/>
                <w:lang w:val="es-ES"/>
              </w:rPr>
              <w:t>Certificado(s) (si corresponde)</w:t>
            </w:r>
          </w:p>
          <w:p w14:paraId="6EF02C2F" w14:textId="77777777" w:rsidR="00BE4C0D" w:rsidRPr="005865FE" w:rsidRDefault="00BE4C0D" w:rsidP="005044D2">
            <w:pPr>
              <w:spacing w:line="0" w:lineRule="atLeast"/>
              <w:rPr>
                <w:i/>
                <w:szCs w:val="24"/>
                <w:lang w:val="es-ES"/>
              </w:rPr>
            </w:pPr>
          </w:p>
        </w:tc>
      </w:tr>
      <w:tr w:rsidR="006B3412" w:rsidRPr="005865FE" w14:paraId="3607A738" w14:textId="77777777" w:rsidTr="005044D2">
        <w:tc>
          <w:tcPr>
            <w:tcW w:w="2790" w:type="dxa"/>
            <w:tcBorders>
              <w:top w:val="single" w:sz="12" w:space="0" w:color="auto"/>
              <w:left w:val="single" w:sz="6" w:space="0" w:color="auto"/>
              <w:bottom w:val="nil"/>
            </w:tcBorders>
          </w:tcPr>
          <w:p w14:paraId="2ACDB801" w14:textId="77777777" w:rsidR="00BE4C0D" w:rsidRPr="005865FE" w:rsidRDefault="00BE4C0D" w:rsidP="005044D2">
            <w:pPr>
              <w:spacing w:line="0" w:lineRule="atLeast"/>
              <w:jc w:val="both"/>
              <w:rPr>
                <w:b/>
                <w:i/>
                <w:szCs w:val="24"/>
                <w:lang w:val="es-ES"/>
              </w:rPr>
            </w:pPr>
          </w:p>
        </w:tc>
        <w:tc>
          <w:tcPr>
            <w:tcW w:w="3060" w:type="dxa"/>
            <w:tcBorders>
              <w:top w:val="single" w:sz="12" w:space="0" w:color="auto"/>
              <w:bottom w:val="nil"/>
            </w:tcBorders>
          </w:tcPr>
          <w:p w14:paraId="3118DB47" w14:textId="77777777" w:rsidR="00BE4C0D" w:rsidRPr="005865FE" w:rsidRDefault="00BE4C0D" w:rsidP="005044D2">
            <w:pPr>
              <w:spacing w:line="0" w:lineRule="atLeast"/>
              <w:jc w:val="both"/>
              <w:rPr>
                <w:b/>
                <w:i/>
                <w:szCs w:val="24"/>
                <w:lang w:val="es-ES"/>
              </w:rPr>
            </w:pPr>
          </w:p>
        </w:tc>
        <w:tc>
          <w:tcPr>
            <w:tcW w:w="3060" w:type="dxa"/>
            <w:tcBorders>
              <w:top w:val="single" w:sz="12" w:space="0" w:color="auto"/>
              <w:bottom w:val="nil"/>
              <w:right w:val="single" w:sz="6" w:space="0" w:color="auto"/>
            </w:tcBorders>
          </w:tcPr>
          <w:p w14:paraId="21A0EF43" w14:textId="77777777" w:rsidR="00BE4C0D" w:rsidRPr="005865FE" w:rsidRDefault="00BE4C0D" w:rsidP="005044D2">
            <w:pPr>
              <w:spacing w:line="0" w:lineRule="atLeast"/>
              <w:jc w:val="both"/>
              <w:rPr>
                <w:b/>
                <w:i/>
                <w:szCs w:val="24"/>
                <w:lang w:val="es-ES"/>
              </w:rPr>
            </w:pPr>
          </w:p>
        </w:tc>
      </w:tr>
      <w:tr w:rsidR="006B3412" w:rsidRPr="005865FE" w14:paraId="20412BA9" w14:textId="77777777" w:rsidTr="005044D2">
        <w:tc>
          <w:tcPr>
            <w:tcW w:w="2790" w:type="dxa"/>
            <w:tcBorders>
              <w:top w:val="single" w:sz="6" w:space="0" w:color="auto"/>
              <w:left w:val="single" w:sz="6" w:space="0" w:color="auto"/>
              <w:bottom w:val="single" w:sz="6" w:space="0" w:color="auto"/>
            </w:tcBorders>
          </w:tcPr>
          <w:p w14:paraId="5EA6ECED" w14:textId="77777777" w:rsidR="00BE4C0D" w:rsidRPr="005865FE" w:rsidRDefault="00BE4C0D" w:rsidP="005044D2">
            <w:pPr>
              <w:spacing w:line="0" w:lineRule="atLeast"/>
              <w:jc w:val="both"/>
              <w:rPr>
                <w:b/>
                <w:i/>
                <w:szCs w:val="24"/>
                <w:lang w:val="es-ES"/>
              </w:rPr>
            </w:pPr>
          </w:p>
        </w:tc>
        <w:tc>
          <w:tcPr>
            <w:tcW w:w="3060" w:type="dxa"/>
            <w:tcBorders>
              <w:top w:val="single" w:sz="6" w:space="0" w:color="auto"/>
              <w:bottom w:val="single" w:sz="6" w:space="0" w:color="auto"/>
            </w:tcBorders>
          </w:tcPr>
          <w:p w14:paraId="44DC3B48" w14:textId="77777777" w:rsidR="00BE4C0D" w:rsidRPr="005865FE" w:rsidRDefault="00BE4C0D" w:rsidP="005044D2">
            <w:pPr>
              <w:spacing w:line="0" w:lineRule="atLeast"/>
              <w:jc w:val="both"/>
              <w:rPr>
                <w:b/>
                <w:i/>
                <w:szCs w:val="24"/>
                <w:lang w:val="es-ES"/>
              </w:rPr>
            </w:pPr>
          </w:p>
        </w:tc>
        <w:tc>
          <w:tcPr>
            <w:tcW w:w="3060" w:type="dxa"/>
            <w:tcBorders>
              <w:top w:val="single" w:sz="6" w:space="0" w:color="auto"/>
              <w:bottom w:val="single" w:sz="6" w:space="0" w:color="auto"/>
              <w:right w:val="single" w:sz="6" w:space="0" w:color="auto"/>
            </w:tcBorders>
          </w:tcPr>
          <w:p w14:paraId="4FDB044F" w14:textId="77777777" w:rsidR="00BE4C0D" w:rsidRPr="005865FE" w:rsidRDefault="00BE4C0D" w:rsidP="005044D2">
            <w:pPr>
              <w:spacing w:line="0" w:lineRule="atLeast"/>
              <w:jc w:val="both"/>
              <w:rPr>
                <w:b/>
                <w:i/>
                <w:szCs w:val="24"/>
                <w:lang w:val="es-ES"/>
              </w:rPr>
            </w:pPr>
          </w:p>
        </w:tc>
      </w:tr>
      <w:tr w:rsidR="006B3412" w:rsidRPr="005865FE" w14:paraId="6726956A" w14:textId="77777777" w:rsidTr="005044D2">
        <w:tc>
          <w:tcPr>
            <w:tcW w:w="2790" w:type="dxa"/>
            <w:tcBorders>
              <w:top w:val="single" w:sz="6" w:space="0" w:color="auto"/>
              <w:left w:val="single" w:sz="6" w:space="0" w:color="auto"/>
              <w:bottom w:val="single" w:sz="6" w:space="0" w:color="auto"/>
            </w:tcBorders>
          </w:tcPr>
          <w:p w14:paraId="7F34A784" w14:textId="77777777" w:rsidR="00BE4C0D" w:rsidRPr="005865FE" w:rsidRDefault="00BE4C0D" w:rsidP="005044D2">
            <w:pPr>
              <w:spacing w:line="0" w:lineRule="atLeast"/>
              <w:jc w:val="both"/>
              <w:rPr>
                <w:b/>
                <w:i/>
                <w:szCs w:val="24"/>
                <w:lang w:val="es-ES"/>
              </w:rPr>
            </w:pPr>
          </w:p>
        </w:tc>
        <w:tc>
          <w:tcPr>
            <w:tcW w:w="3060" w:type="dxa"/>
            <w:tcBorders>
              <w:top w:val="single" w:sz="6" w:space="0" w:color="auto"/>
              <w:bottom w:val="single" w:sz="6" w:space="0" w:color="auto"/>
            </w:tcBorders>
          </w:tcPr>
          <w:p w14:paraId="220B6AD7" w14:textId="77777777" w:rsidR="00BE4C0D" w:rsidRPr="005865FE" w:rsidRDefault="00BE4C0D" w:rsidP="005044D2">
            <w:pPr>
              <w:spacing w:line="0" w:lineRule="atLeast"/>
              <w:jc w:val="both"/>
              <w:rPr>
                <w:b/>
                <w:i/>
                <w:szCs w:val="24"/>
                <w:lang w:val="es-ES"/>
              </w:rPr>
            </w:pPr>
          </w:p>
        </w:tc>
        <w:tc>
          <w:tcPr>
            <w:tcW w:w="3060" w:type="dxa"/>
            <w:tcBorders>
              <w:top w:val="single" w:sz="6" w:space="0" w:color="auto"/>
              <w:bottom w:val="single" w:sz="6" w:space="0" w:color="auto"/>
              <w:right w:val="single" w:sz="6" w:space="0" w:color="auto"/>
            </w:tcBorders>
          </w:tcPr>
          <w:p w14:paraId="2B0E858F" w14:textId="77777777" w:rsidR="00BE4C0D" w:rsidRPr="005865FE" w:rsidRDefault="00BE4C0D" w:rsidP="005044D2">
            <w:pPr>
              <w:spacing w:line="0" w:lineRule="atLeast"/>
              <w:jc w:val="both"/>
              <w:rPr>
                <w:b/>
                <w:i/>
                <w:szCs w:val="24"/>
                <w:lang w:val="es-ES"/>
              </w:rPr>
            </w:pPr>
          </w:p>
        </w:tc>
      </w:tr>
    </w:tbl>
    <w:p w14:paraId="4E3EF4E0" w14:textId="77777777" w:rsidR="002F2DE8" w:rsidRPr="005865FE" w:rsidRDefault="002F2DE8">
      <w:pPr>
        <w:pStyle w:val="BodyText"/>
        <w:keepNext/>
        <w:rPr>
          <w:b/>
          <w:szCs w:val="24"/>
          <w:lang w:val="es-ES"/>
        </w:rPr>
      </w:pPr>
    </w:p>
    <w:p w14:paraId="60450865" w14:textId="51CF5F06" w:rsidR="006913AC" w:rsidRPr="005865FE" w:rsidRDefault="00DC4878">
      <w:pPr>
        <w:pStyle w:val="BodyText"/>
        <w:keepNext/>
        <w:rPr>
          <w:b/>
          <w:szCs w:val="24"/>
          <w:lang w:val="es-ES"/>
        </w:rPr>
      </w:pPr>
      <w:r w:rsidRPr="005865FE">
        <w:rPr>
          <w:b/>
          <w:szCs w:val="24"/>
          <w:lang w:val="es-ES"/>
        </w:rPr>
        <w:t>Opciones:</w:t>
      </w:r>
    </w:p>
    <w:p w14:paraId="535FEE6C" w14:textId="77777777" w:rsidR="006913AC" w:rsidRPr="005865FE" w:rsidRDefault="006913AC">
      <w:pPr>
        <w:pStyle w:val="NoSpacing"/>
        <w:keepNext/>
        <w:rPr>
          <w:lang w:val="es-ES"/>
        </w:rPr>
      </w:pP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90"/>
        <w:gridCol w:w="3060"/>
        <w:gridCol w:w="3060"/>
      </w:tblGrid>
      <w:tr w:rsidR="006B3412" w:rsidRPr="005865FE" w14:paraId="4B39EDEA" w14:textId="77777777">
        <w:tc>
          <w:tcPr>
            <w:tcW w:w="2790" w:type="dxa"/>
            <w:tcBorders>
              <w:top w:val="single" w:sz="12" w:space="0" w:color="auto"/>
              <w:bottom w:val="nil"/>
            </w:tcBorders>
          </w:tcPr>
          <w:p w14:paraId="224A7602" w14:textId="519623A8" w:rsidR="004615C3" w:rsidRPr="005865FE" w:rsidRDefault="00523B6B">
            <w:pPr>
              <w:spacing w:line="0" w:lineRule="atLeast"/>
              <w:jc w:val="both"/>
              <w:rPr>
                <w:b/>
                <w:i/>
                <w:szCs w:val="24"/>
                <w:lang w:val="es-ES"/>
              </w:rPr>
            </w:pPr>
            <w:r w:rsidRPr="005865FE">
              <w:rPr>
                <w:b/>
                <w:i/>
                <w:szCs w:val="24"/>
                <w:lang w:val="es-ES"/>
              </w:rPr>
              <w:t>Precio de ejercicio y</w:t>
            </w:r>
            <w:r w:rsidR="004A7E52" w:rsidRPr="005865FE">
              <w:rPr>
                <w:b/>
                <w:i/>
                <w:szCs w:val="24"/>
                <w:lang w:val="es-ES"/>
              </w:rPr>
              <w:t xml:space="preserve"> </w:t>
            </w:r>
          </w:p>
          <w:p w14:paraId="1D9DFD3A" w14:textId="4C1C00F5" w:rsidR="006913AC" w:rsidRPr="005865FE" w:rsidRDefault="00C14523">
            <w:pPr>
              <w:spacing w:line="0" w:lineRule="atLeast"/>
              <w:jc w:val="both"/>
              <w:rPr>
                <w:i/>
                <w:szCs w:val="24"/>
                <w:lang w:val="es-ES"/>
              </w:rPr>
            </w:pPr>
            <w:r w:rsidRPr="005865FE">
              <w:rPr>
                <w:b/>
                <w:i/>
                <w:szCs w:val="24"/>
                <w:lang w:val="es-ES"/>
              </w:rPr>
              <w:t xml:space="preserve">fecha de vencimiento </w:t>
            </w:r>
          </w:p>
        </w:tc>
        <w:tc>
          <w:tcPr>
            <w:tcW w:w="3060" w:type="dxa"/>
            <w:tcBorders>
              <w:top w:val="single" w:sz="12" w:space="0" w:color="auto"/>
              <w:bottom w:val="nil"/>
            </w:tcBorders>
          </w:tcPr>
          <w:p w14:paraId="51084D05" w14:textId="07157EA7" w:rsidR="006913AC" w:rsidRPr="005865FE" w:rsidRDefault="009B215A" w:rsidP="009037BC">
            <w:pPr>
              <w:spacing w:line="0" w:lineRule="atLeast"/>
              <w:jc w:val="both"/>
              <w:rPr>
                <w:i/>
                <w:szCs w:val="24"/>
                <w:lang w:val="es-ES"/>
              </w:rPr>
            </w:pPr>
            <w:r w:rsidRPr="005865FE">
              <w:rPr>
                <w:b/>
                <w:i/>
                <w:szCs w:val="24"/>
                <w:lang w:val="es-ES"/>
              </w:rPr>
              <w:t>Número de opciones</w:t>
            </w:r>
          </w:p>
        </w:tc>
        <w:tc>
          <w:tcPr>
            <w:tcW w:w="3060" w:type="dxa"/>
            <w:tcBorders>
              <w:top w:val="single" w:sz="12" w:space="0" w:color="auto"/>
              <w:bottom w:val="nil"/>
            </w:tcBorders>
          </w:tcPr>
          <w:p w14:paraId="467FA670" w14:textId="7B2ED6D2" w:rsidR="006913AC" w:rsidRPr="005865FE" w:rsidRDefault="00B97A81">
            <w:pPr>
              <w:spacing w:line="0" w:lineRule="atLeast"/>
              <w:rPr>
                <w:b/>
                <w:i/>
                <w:szCs w:val="24"/>
                <w:lang w:val="es-ES"/>
              </w:rPr>
            </w:pPr>
            <w:r w:rsidRPr="005865FE">
              <w:rPr>
                <w:b/>
                <w:i/>
                <w:szCs w:val="24"/>
                <w:lang w:val="es-ES"/>
              </w:rPr>
              <w:t>Certificado(s) (si corresponde)</w:t>
            </w:r>
          </w:p>
          <w:p w14:paraId="2A20E690" w14:textId="77777777" w:rsidR="006913AC" w:rsidRPr="005865FE" w:rsidRDefault="006913AC">
            <w:pPr>
              <w:spacing w:line="0" w:lineRule="atLeast"/>
              <w:rPr>
                <w:i/>
                <w:szCs w:val="24"/>
                <w:lang w:val="es-ES"/>
              </w:rPr>
            </w:pPr>
          </w:p>
        </w:tc>
      </w:tr>
      <w:tr w:rsidR="006B3412" w:rsidRPr="005865FE" w14:paraId="341F036E" w14:textId="77777777">
        <w:tc>
          <w:tcPr>
            <w:tcW w:w="2790" w:type="dxa"/>
            <w:tcBorders>
              <w:top w:val="single" w:sz="12" w:space="0" w:color="auto"/>
              <w:left w:val="single" w:sz="6" w:space="0" w:color="auto"/>
              <w:bottom w:val="nil"/>
            </w:tcBorders>
          </w:tcPr>
          <w:p w14:paraId="08690E6A" w14:textId="77777777" w:rsidR="006913AC" w:rsidRPr="005865FE" w:rsidRDefault="006913AC">
            <w:pPr>
              <w:spacing w:line="0" w:lineRule="atLeast"/>
              <w:jc w:val="both"/>
              <w:rPr>
                <w:b/>
                <w:i/>
                <w:szCs w:val="24"/>
                <w:lang w:val="es-ES"/>
              </w:rPr>
            </w:pPr>
          </w:p>
        </w:tc>
        <w:tc>
          <w:tcPr>
            <w:tcW w:w="3060" w:type="dxa"/>
            <w:tcBorders>
              <w:top w:val="single" w:sz="12" w:space="0" w:color="auto"/>
              <w:bottom w:val="nil"/>
            </w:tcBorders>
          </w:tcPr>
          <w:p w14:paraId="415ABB45" w14:textId="77777777" w:rsidR="006913AC" w:rsidRPr="005865FE" w:rsidRDefault="006913AC">
            <w:pPr>
              <w:spacing w:line="0" w:lineRule="atLeast"/>
              <w:jc w:val="both"/>
              <w:rPr>
                <w:b/>
                <w:i/>
                <w:szCs w:val="24"/>
                <w:lang w:val="es-ES"/>
              </w:rPr>
            </w:pPr>
          </w:p>
        </w:tc>
        <w:tc>
          <w:tcPr>
            <w:tcW w:w="3060" w:type="dxa"/>
            <w:tcBorders>
              <w:top w:val="single" w:sz="12" w:space="0" w:color="auto"/>
              <w:bottom w:val="nil"/>
              <w:right w:val="single" w:sz="6" w:space="0" w:color="auto"/>
            </w:tcBorders>
          </w:tcPr>
          <w:p w14:paraId="50CF19D6" w14:textId="77777777" w:rsidR="006913AC" w:rsidRPr="005865FE" w:rsidRDefault="006913AC">
            <w:pPr>
              <w:spacing w:line="0" w:lineRule="atLeast"/>
              <w:jc w:val="both"/>
              <w:rPr>
                <w:b/>
                <w:i/>
                <w:szCs w:val="24"/>
                <w:lang w:val="es-ES"/>
              </w:rPr>
            </w:pPr>
          </w:p>
        </w:tc>
      </w:tr>
      <w:tr w:rsidR="006B3412" w:rsidRPr="005865FE" w14:paraId="77DFB35C" w14:textId="77777777">
        <w:tc>
          <w:tcPr>
            <w:tcW w:w="2790" w:type="dxa"/>
            <w:tcBorders>
              <w:top w:val="single" w:sz="6" w:space="0" w:color="auto"/>
              <w:left w:val="single" w:sz="6" w:space="0" w:color="auto"/>
              <w:bottom w:val="single" w:sz="6" w:space="0" w:color="auto"/>
            </w:tcBorders>
          </w:tcPr>
          <w:p w14:paraId="24D360E3" w14:textId="77777777" w:rsidR="006913AC" w:rsidRPr="005865FE" w:rsidRDefault="006913AC">
            <w:pPr>
              <w:spacing w:line="0" w:lineRule="atLeast"/>
              <w:jc w:val="both"/>
              <w:rPr>
                <w:b/>
                <w:i/>
                <w:szCs w:val="24"/>
                <w:lang w:val="es-ES"/>
              </w:rPr>
            </w:pPr>
          </w:p>
        </w:tc>
        <w:tc>
          <w:tcPr>
            <w:tcW w:w="3060" w:type="dxa"/>
            <w:tcBorders>
              <w:top w:val="single" w:sz="6" w:space="0" w:color="auto"/>
              <w:bottom w:val="single" w:sz="6" w:space="0" w:color="auto"/>
            </w:tcBorders>
          </w:tcPr>
          <w:p w14:paraId="5C38BAB5" w14:textId="77777777" w:rsidR="006913AC" w:rsidRPr="005865FE" w:rsidRDefault="006913AC">
            <w:pPr>
              <w:spacing w:line="0" w:lineRule="atLeast"/>
              <w:jc w:val="both"/>
              <w:rPr>
                <w:b/>
                <w:i/>
                <w:szCs w:val="24"/>
                <w:lang w:val="es-ES"/>
              </w:rPr>
            </w:pPr>
          </w:p>
        </w:tc>
        <w:tc>
          <w:tcPr>
            <w:tcW w:w="3060" w:type="dxa"/>
            <w:tcBorders>
              <w:top w:val="single" w:sz="6" w:space="0" w:color="auto"/>
              <w:bottom w:val="single" w:sz="6" w:space="0" w:color="auto"/>
              <w:right w:val="single" w:sz="6" w:space="0" w:color="auto"/>
            </w:tcBorders>
          </w:tcPr>
          <w:p w14:paraId="075F8E38" w14:textId="77777777" w:rsidR="006913AC" w:rsidRPr="005865FE" w:rsidRDefault="006913AC">
            <w:pPr>
              <w:spacing w:line="0" w:lineRule="atLeast"/>
              <w:jc w:val="both"/>
              <w:rPr>
                <w:b/>
                <w:i/>
                <w:szCs w:val="24"/>
                <w:lang w:val="es-ES"/>
              </w:rPr>
            </w:pPr>
          </w:p>
        </w:tc>
      </w:tr>
      <w:tr w:rsidR="006B3412" w:rsidRPr="005865FE" w14:paraId="3A9EF673" w14:textId="77777777">
        <w:tc>
          <w:tcPr>
            <w:tcW w:w="2790" w:type="dxa"/>
            <w:tcBorders>
              <w:top w:val="single" w:sz="6" w:space="0" w:color="auto"/>
              <w:left w:val="single" w:sz="6" w:space="0" w:color="auto"/>
              <w:bottom w:val="single" w:sz="6" w:space="0" w:color="auto"/>
            </w:tcBorders>
          </w:tcPr>
          <w:p w14:paraId="5BF0D964" w14:textId="77777777" w:rsidR="006913AC" w:rsidRPr="005865FE" w:rsidRDefault="006913AC">
            <w:pPr>
              <w:spacing w:line="0" w:lineRule="atLeast"/>
              <w:jc w:val="both"/>
              <w:rPr>
                <w:b/>
                <w:i/>
                <w:szCs w:val="24"/>
                <w:lang w:val="es-ES"/>
              </w:rPr>
            </w:pPr>
          </w:p>
        </w:tc>
        <w:tc>
          <w:tcPr>
            <w:tcW w:w="3060" w:type="dxa"/>
            <w:tcBorders>
              <w:top w:val="single" w:sz="6" w:space="0" w:color="auto"/>
              <w:bottom w:val="single" w:sz="6" w:space="0" w:color="auto"/>
            </w:tcBorders>
          </w:tcPr>
          <w:p w14:paraId="41D0ACAA" w14:textId="77777777" w:rsidR="006913AC" w:rsidRPr="005865FE" w:rsidRDefault="006913AC">
            <w:pPr>
              <w:spacing w:line="0" w:lineRule="atLeast"/>
              <w:jc w:val="both"/>
              <w:rPr>
                <w:b/>
                <w:i/>
                <w:szCs w:val="24"/>
                <w:lang w:val="es-ES"/>
              </w:rPr>
            </w:pPr>
          </w:p>
        </w:tc>
        <w:tc>
          <w:tcPr>
            <w:tcW w:w="3060" w:type="dxa"/>
            <w:tcBorders>
              <w:top w:val="single" w:sz="6" w:space="0" w:color="auto"/>
              <w:bottom w:val="single" w:sz="6" w:space="0" w:color="auto"/>
              <w:right w:val="single" w:sz="6" w:space="0" w:color="auto"/>
            </w:tcBorders>
          </w:tcPr>
          <w:p w14:paraId="7D7CDFB4" w14:textId="77777777" w:rsidR="006913AC" w:rsidRPr="005865FE" w:rsidRDefault="006913AC">
            <w:pPr>
              <w:spacing w:line="0" w:lineRule="atLeast"/>
              <w:jc w:val="both"/>
              <w:rPr>
                <w:b/>
                <w:i/>
                <w:szCs w:val="24"/>
                <w:lang w:val="es-ES"/>
              </w:rPr>
            </w:pPr>
          </w:p>
        </w:tc>
      </w:tr>
    </w:tbl>
    <w:p w14:paraId="7F616F91" w14:textId="77777777" w:rsidR="006913AC" w:rsidRPr="005865FE" w:rsidRDefault="006913AC">
      <w:pPr>
        <w:rPr>
          <w:lang w:val="es-ES"/>
        </w:rPr>
      </w:pPr>
    </w:p>
    <w:p w14:paraId="58020D0D" w14:textId="77777777" w:rsidR="006913AC" w:rsidRPr="005865FE" w:rsidRDefault="006913AC">
      <w:pPr>
        <w:rPr>
          <w:lang w:val="es-ES"/>
        </w:rPr>
        <w:sectPr w:rsidR="006913AC" w:rsidRPr="005865FE">
          <w:pgSz w:w="12240" w:h="15840" w:code="1"/>
          <w:pgMar w:top="1440" w:right="1440" w:bottom="1296" w:left="1440" w:header="720" w:footer="504" w:gutter="0"/>
          <w:cols w:space="708"/>
          <w:titlePg/>
          <w:docGrid w:linePitch="360"/>
        </w:sectPr>
      </w:pPr>
    </w:p>
    <w:p w14:paraId="61BBA3D5" w14:textId="0F33BB4B" w:rsidR="00FF1ED8" w:rsidRPr="005865FE" w:rsidRDefault="00C52ABB" w:rsidP="00FF1ED8">
      <w:pPr>
        <w:pStyle w:val="Subtitle"/>
        <w:rPr>
          <w:lang w:val="es-ES"/>
        </w:rPr>
      </w:pPr>
      <w:r w:rsidRPr="005865FE">
        <w:rPr>
          <w:lang w:val="es-ES"/>
        </w:rPr>
        <w:t>ANEXO “B”</w:t>
      </w:r>
      <w:r w:rsidR="004A7E52" w:rsidRPr="005865FE">
        <w:rPr>
          <w:lang w:val="es-ES"/>
        </w:rPr>
        <w:br/>
      </w:r>
      <w:r w:rsidR="004A7E52" w:rsidRPr="005865FE">
        <w:rPr>
          <w:lang w:val="es-ES"/>
        </w:rPr>
        <w:br/>
      </w:r>
      <w:r w:rsidR="00AF7B33" w:rsidRPr="005865FE">
        <w:rPr>
          <w:lang w:val="es-ES"/>
        </w:rPr>
        <w:t>COMPROMISO DEL</w:t>
      </w:r>
      <w:r w:rsidR="004A7E52" w:rsidRPr="005865FE">
        <w:rPr>
          <w:lang w:val="es-ES"/>
        </w:rPr>
        <w:t xml:space="preserve"> </w:t>
      </w:r>
    </w:p>
    <w:p w14:paraId="768902BC" w14:textId="304C4DF1" w:rsidR="00FF1ED8" w:rsidRPr="005865FE" w:rsidRDefault="00EB715D" w:rsidP="00FF1ED8">
      <w:pPr>
        <w:pStyle w:val="Subtitle"/>
        <w:rPr>
          <w:lang w:val="es-ES"/>
        </w:rPr>
      </w:pPr>
      <w:r w:rsidRPr="005865FE">
        <w:rPr>
          <w:lang w:val="es-ES"/>
        </w:rPr>
        <w:t>TENEDOR DE VALORES EN CUSTODIA QUE NO ES UNA PERSONA FÍSICA</w:t>
      </w:r>
    </w:p>
    <w:p w14:paraId="013AD6C5" w14:textId="77777777" w:rsidR="00FF1ED8" w:rsidRPr="005865FE" w:rsidRDefault="00FF1ED8" w:rsidP="00FF1ED8">
      <w:pPr>
        <w:pStyle w:val="Subtitle"/>
        <w:rPr>
          <w:lang w:val="es-ES"/>
        </w:rPr>
      </w:pPr>
    </w:p>
    <w:p w14:paraId="494DE968" w14:textId="51AADC3E" w:rsidR="00FF1ED8" w:rsidRPr="005865FE" w:rsidRDefault="004E2F38" w:rsidP="00FF1ED8">
      <w:pPr>
        <w:pStyle w:val="BodyText"/>
        <w:rPr>
          <w:b/>
          <w:sz w:val="22"/>
          <w:lang w:val="es-ES"/>
        </w:rPr>
      </w:pPr>
      <w:r w:rsidRPr="005865FE">
        <w:rPr>
          <w:b/>
          <w:sz w:val="22"/>
          <w:lang w:val="es-ES"/>
        </w:rPr>
        <w:t>PARA:</w:t>
      </w:r>
      <w:r w:rsidR="004A7E52" w:rsidRPr="005865FE">
        <w:rPr>
          <w:b/>
          <w:sz w:val="22"/>
          <w:lang w:val="es-ES"/>
        </w:rPr>
        <w:tab/>
      </w:r>
      <w:r w:rsidR="00347FF3" w:rsidRPr="005865FE">
        <w:rPr>
          <w:b/>
          <w:sz w:val="22"/>
          <w:lang w:val="es-ES"/>
        </w:rPr>
        <w:t>TSX VENTURE EXCHANGE</w:t>
      </w:r>
    </w:p>
    <w:p w14:paraId="4D000A35" w14:textId="1417C09B" w:rsidR="00FF1ED8" w:rsidRPr="005865FE" w:rsidRDefault="004A7E52" w:rsidP="00FF1ED8">
      <w:pPr>
        <w:pStyle w:val="BodyText"/>
        <w:rPr>
          <w:sz w:val="22"/>
          <w:lang w:val="es-ES"/>
        </w:rPr>
      </w:pPr>
      <w:r w:rsidRPr="005865FE">
        <w:rPr>
          <w:rFonts w:ascii="Wingdings" w:hAnsi="Wingdings"/>
          <w:sz w:val="22"/>
          <w:lang w:val="es-ES"/>
        </w:rPr>
        <w:sym w:font="Wingdings" w:char="F06C"/>
      </w:r>
      <w:r w:rsidRPr="005865FE">
        <w:rPr>
          <w:b/>
          <w:bCs/>
          <w:sz w:val="22"/>
          <w:lang w:val="es-ES"/>
        </w:rPr>
        <w:t xml:space="preserve"> </w:t>
      </w:r>
      <w:r w:rsidR="00D35FE8" w:rsidRPr="005865FE">
        <w:rPr>
          <w:sz w:val="22"/>
          <w:lang w:val="es-ES"/>
        </w:rPr>
        <w:t xml:space="preserve">(el "tenedor de valores") ha suscrito y acordado adquirir, en carácter de apoderado, las </w:t>
      </w:r>
      <w:r w:rsidR="00470835" w:rsidRPr="005865FE">
        <w:rPr>
          <w:rFonts w:ascii="Wingdings" w:hAnsi="Wingdings"/>
          <w:sz w:val="22"/>
          <w:lang w:val="es-ES"/>
        </w:rPr>
        <w:sym w:font="Wingdings" w:char="F06C"/>
      </w:r>
      <w:r w:rsidR="00D35FE8" w:rsidRPr="005865FE">
        <w:rPr>
          <w:sz w:val="22"/>
          <w:lang w:val="es-ES"/>
        </w:rPr>
        <w:t xml:space="preserve"> acciones ordinarias</w:t>
      </w:r>
      <w:r w:rsidR="00F92178">
        <w:rPr>
          <w:sz w:val="22"/>
          <w:lang w:val="es-ES"/>
        </w:rPr>
        <w:t xml:space="preserve"> de</w:t>
      </w:r>
      <w:r w:rsidR="00D35FE8" w:rsidRPr="005865FE">
        <w:rPr>
          <w:sz w:val="22"/>
          <w:lang w:val="es-ES"/>
        </w:rPr>
        <w:t xml:space="preserve"> </w:t>
      </w:r>
      <w:r w:rsidR="00470835" w:rsidRPr="005865FE">
        <w:rPr>
          <w:rFonts w:ascii="Wingdings" w:hAnsi="Wingdings"/>
          <w:sz w:val="22"/>
          <w:lang w:val="es-ES"/>
        </w:rPr>
        <w:sym w:font="Wingdings" w:char="F06C"/>
      </w:r>
      <w:r w:rsidR="00D35FE8" w:rsidRPr="005865FE">
        <w:rPr>
          <w:sz w:val="22"/>
          <w:lang w:val="es-ES"/>
        </w:rPr>
        <w:t xml:space="preserve"> (los "valores en custodia").</w:t>
      </w:r>
      <w:r w:rsidRPr="005865FE">
        <w:rPr>
          <w:sz w:val="22"/>
          <w:lang w:val="es-ES"/>
        </w:rPr>
        <w:t xml:space="preserve"> </w:t>
      </w:r>
      <w:r w:rsidR="000D7D1E" w:rsidRPr="005865FE">
        <w:rPr>
          <w:sz w:val="22"/>
          <w:lang w:val="es-ES"/>
        </w:rPr>
        <w:t xml:space="preserve">Estos valores se mantendrán en custodia de conformidad con las disposiciones del contrato de custodia celebrado entre </w:t>
      </w:r>
      <w:r w:rsidR="00470835" w:rsidRPr="005865FE">
        <w:rPr>
          <w:rFonts w:ascii="Wingdings" w:hAnsi="Wingdings"/>
          <w:sz w:val="22"/>
          <w:lang w:val="es-ES"/>
        </w:rPr>
        <w:sym w:font="Wingdings" w:char="F06C"/>
      </w:r>
      <w:r w:rsidR="00470835" w:rsidRPr="005865FE">
        <w:rPr>
          <w:sz w:val="22"/>
          <w:lang w:val="es-ES"/>
        </w:rPr>
        <w:t xml:space="preserve"> </w:t>
      </w:r>
      <w:r w:rsidR="000D7D1E" w:rsidRPr="005865FE">
        <w:rPr>
          <w:sz w:val="22"/>
          <w:lang w:val="es-ES"/>
        </w:rPr>
        <w:t xml:space="preserve">(el “emisor”), </w:t>
      </w:r>
      <w:r w:rsidR="00470835" w:rsidRPr="005865FE">
        <w:rPr>
          <w:rFonts w:ascii="Wingdings" w:hAnsi="Wingdings"/>
          <w:sz w:val="22"/>
          <w:lang w:val="es-ES"/>
        </w:rPr>
        <w:sym w:font="Wingdings" w:char="F06C"/>
      </w:r>
      <w:r w:rsidR="00EB07BB">
        <w:rPr>
          <w:sz w:val="22"/>
          <w:lang w:val="es-ES"/>
        </w:rPr>
        <w:t xml:space="preserve"> </w:t>
      </w:r>
      <w:r w:rsidR="000D7D1E" w:rsidRPr="005865FE">
        <w:rPr>
          <w:sz w:val="22"/>
          <w:lang w:val="es-ES"/>
        </w:rPr>
        <w:t>(el “agente de custodia”) y el tenedor de valores (el “contrato de custodia de valores”).</w:t>
      </w:r>
    </w:p>
    <w:p w14:paraId="159466E0" w14:textId="186FDD8E" w:rsidR="00FF1ED8" w:rsidRPr="005865FE" w:rsidRDefault="00BF608F" w:rsidP="00FF1ED8">
      <w:pPr>
        <w:pStyle w:val="BodyText"/>
        <w:rPr>
          <w:sz w:val="22"/>
          <w:lang w:val="es-ES"/>
        </w:rPr>
      </w:pPr>
      <w:r w:rsidRPr="005865FE">
        <w:rPr>
          <w:sz w:val="22"/>
          <w:lang w:val="es-ES"/>
        </w:rPr>
        <w:t>El abajo firmante se compromete, en la medida de lo posible, a no permitir ni autorizar a que sus valores se emitan o transfieran, ni autorizará de otro modo operaciones que involucren alguno de sus valores, que pudieran razonablemente resultar en un cambio de su control sin haber obtenido el consentimiento previo de la TSX Venture Exchange, siempre que algún valor en custodia permanezca en custodia o requiera mantenerse en custodia.</w:t>
      </w:r>
    </w:p>
    <w:p w14:paraId="793B6E1F" w14:textId="0FDEB7A4" w:rsidR="00FF1ED8" w:rsidRPr="005865FE" w:rsidRDefault="001F0316" w:rsidP="00FF1ED8">
      <w:pPr>
        <w:pStyle w:val="BodyText"/>
        <w:rPr>
          <w:sz w:val="22"/>
          <w:lang w:val="es-ES"/>
        </w:rPr>
      </w:pPr>
      <w:r w:rsidRPr="005865FE">
        <w:rPr>
          <w:b/>
          <w:sz w:val="22"/>
          <w:lang w:val="es-ES"/>
        </w:rPr>
        <w:t xml:space="preserve">A LOS </w:t>
      </w:r>
      <w:r w:rsidR="00F352C8" w:rsidRPr="005865FE">
        <w:rPr>
          <w:rFonts w:ascii="Wingdings" w:hAnsi="Wingdings"/>
          <w:sz w:val="22"/>
          <w:lang w:val="es-ES"/>
        </w:rPr>
        <w:sym w:font="Wingdings" w:char="F06C"/>
      </w:r>
      <w:r w:rsidRPr="005865FE">
        <w:rPr>
          <w:b/>
          <w:sz w:val="22"/>
          <w:lang w:val="es-ES"/>
        </w:rPr>
        <w:t>_____ días de</w:t>
      </w:r>
      <w:r w:rsidR="00CD02A4">
        <w:rPr>
          <w:b/>
          <w:sz w:val="22"/>
          <w:lang w:val="es-ES"/>
        </w:rPr>
        <w:t xml:space="preserve"> </w:t>
      </w:r>
      <w:r w:rsidRPr="005865FE">
        <w:rPr>
          <w:b/>
          <w:sz w:val="22"/>
          <w:lang w:val="es-ES"/>
        </w:rPr>
        <w:t>____________</w:t>
      </w:r>
      <w:r w:rsidR="0017695A" w:rsidRPr="005865FE">
        <w:rPr>
          <w:rFonts w:ascii="Wingdings" w:hAnsi="Wingdings"/>
          <w:sz w:val="22"/>
          <w:lang w:val="es-ES"/>
        </w:rPr>
        <w:sym w:font="Wingdings" w:char="F06C"/>
      </w:r>
      <w:r w:rsidR="00E632D7" w:rsidRPr="00E632D7">
        <w:rPr>
          <w:b/>
          <w:sz w:val="22"/>
          <w:lang w:val="es-ES"/>
        </w:rPr>
        <w:t xml:space="preserve"> </w:t>
      </w:r>
      <w:r w:rsidR="00E632D7">
        <w:rPr>
          <w:b/>
          <w:sz w:val="22"/>
          <w:lang w:val="es-ES"/>
        </w:rPr>
        <w:t>de</w:t>
      </w:r>
      <w:r w:rsidR="00E632D7" w:rsidRPr="00091B2C">
        <w:rPr>
          <w:sz w:val="22"/>
          <w:lang w:val="es-ES"/>
        </w:rPr>
        <w:t xml:space="preserve"> </w:t>
      </w:r>
      <w:r w:rsidR="00E632D7" w:rsidRPr="00091B2C">
        <w:rPr>
          <w:rFonts w:ascii="Wingdings" w:hAnsi="Wingdings"/>
          <w:sz w:val="22"/>
          <w:lang w:val="es-ES"/>
        </w:rPr>
        <w:sym w:font="Wingdings" w:char="F06C"/>
      </w:r>
      <w:r w:rsidR="00E632D7" w:rsidRPr="00091B2C">
        <w:rPr>
          <w:sz w:val="22"/>
          <w:lang w:val="es-ES"/>
        </w:rPr>
        <w:t>.</w:t>
      </w:r>
    </w:p>
    <w:tbl>
      <w:tblPr>
        <w:tblW w:w="0" w:type="auto"/>
        <w:tblLayout w:type="fixed"/>
        <w:tblCellMar>
          <w:left w:w="0" w:type="dxa"/>
          <w:right w:w="0" w:type="dxa"/>
        </w:tblCellMar>
        <w:tblLook w:val="0000" w:firstRow="0" w:lastRow="0" w:firstColumn="0" w:lastColumn="0" w:noHBand="0" w:noVBand="0"/>
      </w:tblPr>
      <w:tblGrid>
        <w:gridCol w:w="4320"/>
        <w:gridCol w:w="360"/>
        <w:gridCol w:w="4680"/>
      </w:tblGrid>
      <w:tr w:rsidR="006B3412" w:rsidRPr="00E81881" w14:paraId="799A96A3" w14:textId="77777777" w:rsidTr="0066692A">
        <w:trPr>
          <w:cantSplit/>
        </w:trPr>
        <w:tc>
          <w:tcPr>
            <w:tcW w:w="4320" w:type="dxa"/>
          </w:tcPr>
          <w:p w14:paraId="77FC97CA" w14:textId="77777777" w:rsidR="00FF1ED8" w:rsidRPr="005865FE" w:rsidRDefault="00FF1ED8" w:rsidP="0066692A">
            <w:pPr>
              <w:pStyle w:val="TableTableau"/>
              <w:keepNext/>
              <w:rPr>
                <w:sz w:val="22"/>
                <w:szCs w:val="22"/>
                <w:lang w:val="es-ES"/>
              </w:rPr>
            </w:pPr>
          </w:p>
        </w:tc>
        <w:tc>
          <w:tcPr>
            <w:tcW w:w="360" w:type="dxa"/>
          </w:tcPr>
          <w:p w14:paraId="30581C64" w14:textId="77777777" w:rsidR="00FF1ED8" w:rsidRPr="005865FE" w:rsidRDefault="00FF1ED8" w:rsidP="0066692A">
            <w:pPr>
              <w:pStyle w:val="TableTableau"/>
              <w:keepNext/>
              <w:rPr>
                <w:sz w:val="22"/>
                <w:szCs w:val="22"/>
                <w:lang w:val="es-ES"/>
              </w:rPr>
            </w:pPr>
          </w:p>
        </w:tc>
        <w:tc>
          <w:tcPr>
            <w:tcW w:w="4680" w:type="dxa"/>
            <w:tcBorders>
              <w:bottom w:val="single" w:sz="4" w:space="0" w:color="auto"/>
            </w:tcBorders>
            <w:shd w:val="clear" w:color="auto" w:fill="auto"/>
          </w:tcPr>
          <w:p w14:paraId="3F45F37B" w14:textId="77777777" w:rsidR="00FF1ED8" w:rsidRPr="005865FE" w:rsidRDefault="00FF1ED8" w:rsidP="0066692A">
            <w:pPr>
              <w:pStyle w:val="TableTableau"/>
              <w:keepNext/>
              <w:rPr>
                <w:sz w:val="22"/>
                <w:szCs w:val="22"/>
                <w:lang w:val="es-ES"/>
              </w:rPr>
            </w:pPr>
          </w:p>
        </w:tc>
      </w:tr>
      <w:tr w:rsidR="006B3412" w:rsidRPr="00E81881" w14:paraId="3EF8BB0B" w14:textId="77777777" w:rsidTr="0066692A">
        <w:trPr>
          <w:cantSplit/>
        </w:trPr>
        <w:tc>
          <w:tcPr>
            <w:tcW w:w="4320" w:type="dxa"/>
            <w:tcMar>
              <w:top w:w="0" w:type="dxa"/>
            </w:tcMar>
          </w:tcPr>
          <w:p w14:paraId="3A91ED11" w14:textId="77777777" w:rsidR="00FF1ED8" w:rsidRPr="005865FE" w:rsidRDefault="00FF1ED8" w:rsidP="0066692A">
            <w:pPr>
              <w:pStyle w:val="TableTableau"/>
              <w:keepNext/>
              <w:rPr>
                <w:sz w:val="22"/>
                <w:szCs w:val="22"/>
                <w:lang w:val="es-ES"/>
              </w:rPr>
            </w:pPr>
          </w:p>
        </w:tc>
        <w:tc>
          <w:tcPr>
            <w:tcW w:w="360" w:type="dxa"/>
            <w:tcMar>
              <w:top w:w="0" w:type="dxa"/>
            </w:tcMar>
          </w:tcPr>
          <w:p w14:paraId="0B4076C7" w14:textId="77777777" w:rsidR="00FF1ED8" w:rsidRPr="005865FE" w:rsidRDefault="00FF1ED8" w:rsidP="0066692A">
            <w:pPr>
              <w:pStyle w:val="TableTableau"/>
              <w:keepNext/>
              <w:rPr>
                <w:sz w:val="22"/>
                <w:szCs w:val="22"/>
                <w:lang w:val="es-ES"/>
              </w:rPr>
            </w:pPr>
          </w:p>
        </w:tc>
        <w:tc>
          <w:tcPr>
            <w:tcW w:w="4680" w:type="dxa"/>
            <w:tcBorders>
              <w:top w:val="single" w:sz="4" w:space="0" w:color="auto"/>
            </w:tcBorders>
            <w:shd w:val="clear" w:color="auto" w:fill="auto"/>
            <w:tcMar>
              <w:top w:w="0" w:type="dxa"/>
            </w:tcMar>
          </w:tcPr>
          <w:p w14:paraId="43195C5A" w14:textId="7B81D09D" w:rsidR="00FF1ED8" w:rsidRPr="005865FE" w:rsidRDefault="00827715" w:rsidP="0066692A">
            <w:pPr>
              <w:pStyle w:val="TableTableau"/>
              <w:keepNext/>
              <w:rPr>
                <w:b/>
                <w:sz w:val="22"/>
                <w:szCs w:val="22"/>
                <w:lang w:val="es-ES"/>
              </w:rPr>
            </w:pPr>
            <w:r w:rsidRPr="005865FE">
              <w:rPr>
                <w:sz w:val="22"/>
                <w:szCs w:val="22"/>
                <w:lang w:val="es-ES"/>
              </w:rPr>
              <w:t>(Nombre del tenedor de valores - en letra de imprenta)</w:t>
            </w:r>
          </w:p>
        </w:tc>
      </w:tr>
      <w:tr w:rsidR="006B3412" w:rsidRPr="00E81881" w14:paraId="767C1EA5" w14:textId="77777777" w:rsidTr="0066692A">
        <w:trPr>
          <w:cantSplit/>
        </w:trPr>
        <w:tc>
          <w:tcPr>
            <w:tcW w:w="4320" w:type="dxa"/>
          </w:tcPr>
          <w:p w14:paraId="672C605F" w14:textId="77777777" w:rsidR="00FF1ED8" w:rsidRPr="005865FE" w:rsidRDefault="00FF1ED8" w:rsidP="0066692A">
            <w:pPr>
              <w:pStyle w:val="TableTableau"/>
              <w:keepNext/>
              <w:rPr>
                <w:sz w:val="22"/>
                <w:szCs w:val="22"/>
                <w:lang w:val="es-ES"/>
              </w:rPr>
            </w:pPr>
          </w:p>
        </w:tc>
        <w:tc>
          <w:tcPr>
            <w:tcW w:w="360" w:type="dxa"/>
          </w:tcPr>
          <w:p w14:paraId="2C7A1260" w14:textId="77777777" w:rsidR="00FF1ED8" w:rsidRPr="005865FE" w:rsidRDefault="00FF1ED8" w:rsidP="0066692A">
            <w:pPr>
              <w:pStyle w:val="TableTableau"/>
              <w:keepNext/>
              <w:rPr>
                <w:sz w:val="22"/>
                <w:szCs w:val="22"/>
                <w:lang w:val="es-ES"/>
              </w:rPr>
            </w:pPr>
          </w:p>
        </w:tc>
        <w:tc>
          <w:tcPr>
            <w:tcW w:w="4680" w:type="dxa"/>
            <w:tcBorders>
              <w:bottom w:val="single" w:sz="4" w:space="0" w:color="auto"/>
            </w:tcBorders>
            <w:shd w:val="clear" w:color="auto" w:fill="auto"/>
          </w:tcPr>
          <w:p w14:paraId="621FBBFF" w14:textId="77777777" w:rsidR="00FF1ED8" w:rsidRPr="005865FE" w:rsidRDefault="00FF1ED8" w:rsidP="0066692A">
            <w:pPr>
              <w:pStyle w:val="TableTableau"/>
              <w:keepNext/>
              <w:rPr>
                <w:sz w:val="22"/>
                <w:szCs w:val="22"/>
                <w:lang w:val="es-ES"/>
              </w:rPr>
            </w:pPr>
          </w:p>
        </w:tc>
      </w:tr>
      <w:tr w:rsidR="006B3412" w:rsidRPr="005865FE" w14:paraId="7D84C494" w14:textId="77777777" w:rsidTr="0066692A">
        <w:trPr>
          <w:cantSplit/>
        </w:trPr>
        <w:tc>
          <w:tcPr>
            <w:tcW w:w="4320" w:type="dxa"/>
            <w:tcMar>
              <w:top w:w="0" w:type="dxa"/>
            </w:tcMar>
          </w:tcPr>
          <w:p w14:paraId="12B08732" w14:textId="77777777" w:rsidR="00FF1ED8" w:rsidRPr="005865FE" w:rsidRDefault="00FF1ED8" w:rsidP="0066692A">
            <w:pPr>
              <w:pStyle w:val="TableTableau"/>
              <w:keepNext/>
              <w:rPr>
                <w:sz w:val="22"/>
                <w:szCs w:val="22"/>
                <w:lang w:val="es-ES"/>
              </w:rPr>
            </w:pPr>
          </w:p>
        </w:tc>
        <w:tc>
          <w:tcPr>
            <w:tcW w:w="360" w:type="dxa"/>
            <w:tcMar>
              <w:top w:w="0" w:type="dxa"/>
            </w:tcMar>
          </w:tcPr>
          <w:p w14:paraId="193F4855" w14:textId="77777777" w:rsidR="00FF1ED8" w:rsidRPr="005865FE" w:rsidRDefault="00FF1ED8" w:rsidP="0066692A">
            <w:pPr>
              <w:pStyle w:val="TableTableau"/>
              <w:keepNext/>
              <w:rPr>
                <w:sz w:val="22"/>
                <w:szCs w:val="22"/>
                <w:lang w:val="es-ES"/>
              </w:rPr>
            </w:pPr>
          </w:p>
        </w:tc>
        <w:tc>
          <w:tcPr>
            <w:tcW w:w="4680" w:type="dxa"/>
            <w:tcBorders>
              <w:top w:val="single" w:sz="4" w:space="0" w:color="auto"/>
            </w:tcBorders>
            <w:shd w:val="clear" w:color="auto" w:fill="auto"/>
            <w:tcMar>
              <w:top w:w="0" w:type="dxa"/>
            </w:tcMar>
          </w:tcPr>
          <w:p w14:paraId="2BC69D14" w14:textId="053442B7" w:rsidR="00FF1ED8" w:rsidRPr="005865FE" w:rsidRDefault="00BB7A52" w:rsidP="0066692A">
            <w:pPr>
              <w:pStyle w:val="TableTableau"/>
              <w:keepNext/>
              <w:jc w:val="both"/>
              <w:rPr>
                <w:b/>
                <w:sz w:val="22"/>
                <w:szCs w:val="22"/>
                <w:lang w:val="es-ES"/>
              </w:rPr>
            </w:pPr>
            <w:r w:rsidRPr="005865FE">
              <w:rPr>
                <w:sz w:val="22"/>
                <w:szCs w:val="22"/>
                <w:lang w:val="es-ES"/>
              </w:rPr>
              <w:t>(Firma autorizada)</w:t>
            </w:r>
          </w:p>
        </w:tc>
      </w:tr>
      <w:tr w:rsidR="006B3412" w:rsidRPr="005865FE" w14:paraId="361E4C82" w14:textId="77777777" w:rsidTr="0066692A">
        <w:trPr>
          <w:cantSplit/>
        </w:trPr>
        <w:tc>
          <w:tcPr>
            <w:tcW w:w="4320" w:type="dxa"/>
          </w:tcPr>
          <w:p w14:paraId="69766A6F" w14:textId="77777777" w:rsidR="00FF1ED8" w:rsidRPr="005865FE" w:rsidRDefault="00FF1ED8" w:rsidP="0066692A">
            <w:pPr>
              <w:pStyle w:val="TableTableau"/>
              <w:keepNext/>
              <w:rPr>
                <w:sz w:val="22"/>
                <w:szCs w:val="22"/>
                <w:lang w:val="es-ES"/>
              </w:rPr>
            </w:pPr>
          </w:p>
        </w:tc>
        <w:tc>
          <w:tcPr>
            <w:tcW w:w="360" w:type="dxa"/>
          </w:tcPr>
          <w:p w14:paraId="7EDE0A26" w14:textId="77777777" w:rsidR="00FF1ED8" w:rsidRPr="005865FE" w:rsidRDefault="00FF1ED8" w:rsidP="0066692A">
            <w:pPr>
              <w:pStyle w:val="TableTableau"/>
              <w:keepNext/>
              <w:rPr>
                <w:sz w:val="22"/>
                <w:szCs w:val="22"/>
                <w:lang w:val="es-ES"/>
              </w:rPr>
            </w:pPr>
          </w:p>
        </w:tc>
        <w:tc>
          <w:tcPr>
            <w:tcW w:w="4680" w:type="dxa"/>
            <w:tcBorders>
              <w:bottom w:val="single" w:sz="4" w:space="0" w:color="auto"/>
            </w:tcBorders>
            <w:shd w:val="clear" w:color="auto" w:fill="auto"/>
          </w:tcPr>
          <w:p w14:paraId="27384E3D" w14:textId="77777777" w:rsidR="00FF1ED8" w:rsidRPr="005865FE" w:rsidRDefault="00FF1ED8" w:rsidP="0066692A">
            <w:pPr>
              <w:pStyle w:val="TableTableau"/>
              <w:keepNext/>
              <w:rPr>
                <w:sz w:val="22"/>
                <w:szCs w:val="22"/>
                <w:lang w:val="es-ES"/>
              </w:rPr>
            </w:pPr>
          </w:p>
        </w:tc>
      </w:tr>
      <w:tr w:rsidR="006B3412" w:rsidRPr="00E81881" w14:paraId="6C0EC1CC" w14:textId="77777777" w:rsidTr="0066692A">
        <w:trPr>
          <w:cantSplit/>
        </w:trPr>
        <w:tc>
          <w:tcPr>
            <w:tcW w:w="4320" w:type="dxa"/>
            <w:tcMar>
              <w:top w:w="0" w:type="dxa"/>
            </w:tcMar>
          </w:tcPr>
          <w:p w14:paraId="4369E29B" w14:textId="77777777" w:rsidR="00FF1ED8" w:rsidRPr="005865FE" w:rsidRDefault="00FF1ED8" w:rsidP="0066692A">
            <w:pPr>
              <w:pStyle w:val="TableTableau"/>
              <w:keepNext/>
              <w:rPr>
                <w:sz w:val="22"/>
                <w:szCs w:val="22"/>
                <w:lang w:val="es-ES"/>
              </w:rPr>
            </w:pPr>
          </w:p>
        </w:tc>
        <w:tc>
          <w:tcPr>
            <w:tcW w:w="360" w:type="dxa"/>
            <w:tcMar>
              <w:top w:w="0" w:type="dxa"/>
            </w:tcMar>
          </w:tcPr>
          <w:p w14:paraId="502723CF" w14:textId="77777777" w:rsidR="00FF1ED8" w:rsidRPr="005865FE" w:rsidRDefault="00FF1ED8" w:rsidP="0066692A">
            <w:pPr>
              <w:pStyle w:val="TableTableau"/>
              <w:keepNext/>
              <w:rPr>
                <w:sz w:val="22"/>
                <w:szCs w:val="22"/>
                <w:lang w:val="es-ES"/>
              </w:rPr>
            </w:pPr>
          </w:p>
        </w:tc>
        <w:tc>
          <w:tcPr>
            <w:tcW w:w="4680" w:type="dxa"/>
            <w:tcBorders>
              <w:top w:val="single" w:sz="4" w:space="0" w:color="auto"/>
            </w:tcBorders>
            <w:shd w:val="clear" w:color="auto" w:fill="auto"/>
            <w:tcMar>
              <w:top w:w="0" w:type="dxa"/>
            </w:tcMar>
          </w:tcPr>
          <w:p w14:paraId="08958B54" w14:textId="5B6DD970" w:rsidR="00FF1ED8" w:rsidRPr="005865FE" w:rsidRDefault="00ED5962" w:rsidP="0066692A">
            <w:pPr>
              <w:pStyle w:val="TableTableau"/>
              <w:keepNext/>
              <w:rPr>
                <w:b/>
                <w:sz w:val="22"/>
                <w:szCs w:val="22"/>
                <w:lang w:val="es-ES"/>
              </w:rPr>
            </w:pPr>
            <w:r w:rsidRPr="005865FE">
              <w:rPr>
                <w:sz w:val="22"/>
                <w:szCs w:val="22"/>
                <w:lang w:val="es-ES"/>
              </w:rPr>
              <w:t>(Cargo o función - en letra de imprenta)</w:t>
            </w:r>
          </w:p>
        </w:tc>
      </w:tr>
      <w:tr w:rsidR="006B3412" w:rsidRPr="00E81881" w14:paraId="1A40A86D" w14:textId="77777777" w:rsidTr="0066692A">
        <w:trPr>
          <w:cantSplit/>
        </w:trPr>
        <w:tc>
          <w:tcPr>
            <w:tcW w:w="4320" w:type="dxa"/>
          </w:tcPr>
          <w:p w14:paraId="0D2D965D" w14:textId="77777777" w:rsidR="00FF1ED8" w:rsidRPr="005865FE" w:rsidRDefault="00FF1ED8" w:rsidP="0066692A">
            <w:pPr>
              <w:pStyle w:val="TableTableau"/>
              <w:keepNext/>
              <w:rPr>
                <w:sz w:val="22"/>
                <w:szCs w:val="22"/>
                <w:lang w:val="es-ES"/>
              </w:rPr>
            </w:pPr>
          </w:p>
        </w:tc>
        <w:tc>
          <w:tcPr>
            <w:tcW w:w="360" w:type="dxa"/>
          </w:tcPr>
          <w:p w14:paraId="28EE2CF4" w14:textId="77777777" w:rsidR="00FF1ED8" w:rsidRPr="005865FE" w:rsidRDefault="00FF1ED8" w:rsidP="0066692A">
            <w:pPr>
              <w:pStyle w:val="TableTableau"/>
              <w:keepNext/>
              <w:rPr>
                <w:sz w:val="22"/>
                <w:szCs w:val="22"/>
                <w:lang w:val="es-ES"/>
              </w:rPr>
            </w:pPr>
          </w:p>
        </w:tc>
        <w:tc>
          <w:tcPr>
            <w:tcW w:w="4680" w:type="dxa"/>
            <w:tcBorders>
              <w:bottom w:val="single" w:sz="4" w:space="0" w:color="auto"/>
            </w:tcBorders>
            <w:shd w:val="clear" w:color="auto" w:fill="auto"/>
          </w:tcPr>
          <w:p w14:paraId="543F44D6" w14:textId="77777777" w:rsidR="00FF1ED8" w:rsidRPr="005865FE" w:rsidRDefault="00FF1ED8" w:rsidP="0066692A">
            <w:pPr>
              <w:pStyle w:val="TableTableau"/>
              <w:keepNext/>
              <w:rPr>
                <w:sz w:val="22"/>
                <w:szCs w:val="22"/>
                <w:lang w:val="es-ES"/>
              </w:rPr>
            </w:pPr>
          </w:p>
        </w:tc>
      </w:tr>
      <w:tr w:rsidR="006B3412" w:rsidRPr="00E81881" w14:paraId="528ED008" w14:textId="77777777" w:rsidTr="0066692A">
        <w:trPr>
          <w:cantSplit/>
        </w:trPr>
        <w:tc>
          <w:tcPr>
            <w:tcW w:w="4320" w:type="dxa"/>
            <w:tcMar>
              <w:top w:w="0" w:type="dxa"/>
            </w:tcMar>
          </w:tcPr>
          <w:p w14:paraId="3D8A198A" w14:textId="77777777" w:rsidR="00FF1ED8" w:rsidRPr="005865FE" w:rsidRDefault="00FF1ED8" w:rsidP="0066692A">
            <w:pPr>
              <w:pStyle w:val="TableTableau"/>
              <w:keepNext/>
              <w:rPr>
                <w:sz w:val="22"/>
                <w:szCs w:val="22"/>
                <w:lang w:val="es-ES"/>
              </w:rPr>
            </w:pPr>
          </w:p>
        </w:tc>
        <w:tc>
          <w:tcPr>
            <w:tcW w:w="360" w:type="dxa"/>
            <w:tcMar>
              <w:top w:w="0" w:type="dxa"/>
            </w:tcMar>
          </w:tcPr>
          <w:p w14:paraId="7602A8F5" w14:textId="77777777" w:rsidR="00FF1ED8" w:rsidRPr="005865FE" w:rsidRDefault="00FF1ED8" w:rsidP="0066692A">
            <w:pPr>
              <w:pStyle w:val="TableTableau"/>
              <w:keepNext/>
              <w:rPr>
                <w:sz w:val="22"/>
                <w:szCs w:val="22"/>
                <w:lang w:val="es-ES"/>
              </w:rPr>
            </w:pPr>
          </w:p>
        </w:tc>
        <w:tc>
          <w:tcPr>
            <w:tcW w:w="4680" w:type="dxa"/>
            <w:tcBorders>
              <w:top w:val="single" w:sz="4" w:space="0" w:color="auto"/>
            </w:tcBorders>
            <w:shd w:val="clear" w:color="auto" w:fill="auto"/>
            <w:tcMar>
              <w:top w:w="0" w:type="dxa"/>
            </w:tcMar>
          </w:tcPr>
          <w:p w14:paraId="5F18B96F" w14:textId="77777777" w:rsidR="00FF1ED8" w:rsidRPr="005865FE" w:rsidRDefault="004A7E52" w:rsidP="0066692A">
            <w:pPr>
              <w:pStyle w:val="TableTableau"/>
              <w:keepNext/>
              <w:rPr>
                <w:b/>
                <w:sz w:val="22"/>
                <w:szCs w:val="22"/>
                <w:lang w:val="es-ES"/>
              </w:rPr>
            </w:pPr>
            <w:r w:rsidRPr="005865FE">
              <w:rPr>
                <w:sz w:val="22"/>
                <w:szCs w:val="22"/>
                <w:lang w:val="es-ES"/>
              </w:rPr>
              <w:t>(Sírvase escribir aquí en imprenta el nombre de la persona cuya firma aparece más arriba.</w:t>
            </w:r>
          </w:p>
        </w:tc>
      </w:tr>
    </w:tbl>
    <w:p w14:paraId="4BCFB4A6" w14:textId="2D1C3874" w:rsidR="00FF1ED8" w:rsidRPr="005865FE" w:rsidRDefault="00F96D9B" w:rsidP="00FF1ED8">
      <w:pPr>
        <w:pStyle w:val="BodyText"/>
        <w:rPr>
          <w:sz w:val="22"/>
          <w:lang w:val="es-ES"/>
        </w:rPr>
      </w:pPr>
      <w:r w:rsidRPr="005865FE">
        <w:rPr>
          <w:sz w:val="22"/>
          <w:lang w:val="es-ES"/>
        </w:rPr>
        <w:t>El tenedor de valores está directamente controlado por el abajo firmante, quien se compromete a no permitir ni autorizar, en la medida de lo posible, que se emitan o transfieran los valores del tenedor de valores, y a de ningún otro modo realizar operaciones que pudieran razonablemente resultar en un cambio de control del tenedor de valores sin haber obtenido el consentimiento previo de la TSX Venture Exchange, siempre que algún valor en custodia permanezca en custodia o requiera mantenerse en custodia.</w:t>
      </w:r>
    </w:p>
    <w:p w14:paraId="7A5213CD" w14:textId="6E37D8FB" w:rsidR="00FF1ED8" w:rsidRPr="005865FE" w:rsidRDefault="001F0316" w:rsidP="00FF1ED8">
      <w:pPr>
        <w:pStyle w:val="BodyText"/>
        <w:keepNext/>
        <w:rPr>
          <w:sz w:val="22"/>
          <w:lang w:val="es-ES"/>
        </w:rPr>
      </w:pPr>
      <w:r w:rsidRPr="005865FE">
        <w:rPr>
          <w:b/>
          <w:sz w:val="22"/>
          <w:lang w:val="es-ES"/>
        </w:rPr>
        <w:t xml:space="preserve">A LOS </w:t>
      </w:r>
      <w:r w:rsidR="006164B0" w:rsidRPr="005865FE">
        <w:rPr>
          <w:rFonts w:ascii="Wingdings" w:hAnsi="Wingdings"/>
          <w:sz w:val="22"/>
          <w:lang w:val="es-ES"/>
        </w:rPr>
        <w:sym w:font="Wingdings" w:char="F06C"/>
      </w:r>
      <w:r w:rsidRPr="005865FE">
        <w:rPr>
          <w:b/>
          <w:sz w:val="22"/>
          <w:lang w:val="es-ES"/>
        </w:rPr>
        <w:t>_____ días de</w:t>
      </w:r>
      <w:r w:rsidR="00FB6ECD">
        <w:rPr>
          <w:b/>
          <w:sz w:val="22"/>
          <w:lang w:val="es-ES"/>
        </w:rPr>
        <w:t xml:space="preserve"> </w:t>
      </w:r>
      <w:r w:rsidRPr="005865FE">
        <w:rPr>
          <w:b/>
          <w:sz w:val="22"/>
          <w:lang w:val="es-ES"/>
        </w:rPr>
        <w:t>____________</w:t>
      </w:r>
      <w:r w:rsidR="004A7E52" w:rsidRPr="005865FE">
        <w:rPr>
          <w:rFonts w:ascii="Wingdings" w:hAnsi="Wingdings"/>
          <w:sz w:val="22"/>
          <w:lang w:val="es-ES"/>
        </w:rPr>
        <w:sym w:font="Wingdings" w:char="F06C"/>
      </w:r>
      <w:r w:rsidR="00E52E3A" w:rsidRPr="00E52E3A">
        <w:rPr>
          <w:b/>
          <w:sz w:val="22"/>
          <w:lang w:val="es-ES"/>
        </w:rPr>
        <w:t xml:space="preserve"> </w:t>
      </w:r>
      <w:r w:rsidR="00E52E3A">
        <w:rPr>
          <w:b/>
          <w:sz w:val="22"/>
          <w:lang w:val="es-ES"/>
        </w:rPr>
        <w:t>de</w:t>
      </w:r>
      <w:r w:rsidR="00E52E3A" w:rsidRPr="00091B2C">
        <w:rPr>
          <w:sz w:val="22"/>
          <w:lang w:val="es-ES"/>
        </w:rPr>
        <w:t xml:space="preserve"> </w:t>
      </w:r>
      <w:r w:rsidR="00E52E3A" w:rsidRPr="00091B2C">
        <w:rPr>
          <w:rFonts w:ascii="Wingdings" w:hAnsi="Wingdings"/>
          <w:sz w:val="22"/>
          <w:lang w:val="es-ES"/>
        </w:rPr>
        <w:sym w:font="Wingdings" w:char="F06C"/>
      </w:r>
      <w:r w:rsidR="00E52E3A" w:rsidRPr="00091B2C">
        <w:rPr>
          <w:sz w:val="22"/>
          <w:lang w:val="es-ES"/>
        </w:rPr>
        <w:t>.</w:t>
      </w:r>
    </w:p>
    <w:tbl>
      <w:tblPr>
        <w:tblW w:w="0" w:type="auto"/>
        <w:tblLayout w:type="fixed"/>
        <w:tblCellMar>
          <w:left w:w="0" w:type="dxa"/>
          <w:right w:w="0" w:type="dxa"/>
        </w:tblCellMar>
        <w:tblLook w:val="0000" w:firstRow="0" w:lastRow="0" w:firstColumn="0" w:lastColumn="0" w:noHBand="0" w:noVBand="0"/>
      </w:tblPr>
      <w:tblGrid>
        <w:gridCol w:w="4320"/>
        <w:gridCol w:w="360"/>
        <w:gridCol w:w="4680"/>
      </w:tblGrid>
      <w:tr w:rsidR="006B3412" w:rsidRPr="00E81881" w14:paraId="43EBB4FC" w14:textId="77777777" w:rsidTr="0066692A">
        <w:trPr>
          <w:cantSplit/>
        </w:trPr>
        <w:tc>
          <w:tcPr>
            <w:tcW w:w="4320" w:type="dxa"/>
          </w:tcPr>
          <w:p w14:paraId="39CE94F6" w14:textId="77777777" w:rsidR="00FF1ED8" w:rsidRPr="005865FE" w:rsidRDefault="00FF1ED8" w:rsidP="0066692A">
            <w:pPr>
              <w:pStyle w:val="TableTableau"/>
              <w:keepNext/>
              <w:rPr>
                <w:sz w:val="22"/>
                <w:szCs w:val="22"/>
                <w:lang w:val="es-ES"/>
              </w:rPr>
            </w:pPr>
          </w:p>
        </w:tc>
        <w:tc>
          <w:tcPr>
            <w:tcW w:w="360" w:type="dxa"/>
          </w:tcPr>
          <w:p w14:paraId="45357403" w14:textId="77777777" w:rsidR="00FF1ED8" w:rsidRPr="005865FE" w:rsidRDefault="00FF1ED8" w:rsidP="0066692A">
            <w:pPr>
              <w:pStyle w:val="TableTableau"/>
              <w:keepNext/>
              <w:rPr>
                <w:sz w:val="22"/>
                <w:szCs w:val="22"/>
                <w:lang w:val="es-ES"/>
              </w:rPr>
            </w:pPr>
          </w:p>
        </w:tc>
        <w:tc>
          <w:tcPr>
            <w:tcW w:w="4680" w:type="dxa"/>
            <w:tcBorders>
              <w:bottom w:val="single" w:sz="4" w:space="0" w:color="auto"/>
            </w:tcBorders>
            <w:shd w:val="clear" w:color="auto" w:fill="auto"/>
          </w:tcPr>
          <w:p w14:paraId="2EB07E58" w14:textId="77777777" w:rsidR="00FF1ED8" w:rsidRPr="005865FE" w:rsidRDefault="00FF1ED8" w:rsidP="0066692A">
            <w:pPr>
              <w:pStyle w:val="TableTableau"/>
              <w:keepNext/>
              <w:rPr>
                <w:sz w:val="22"/>
                <w:szCs w:val="22"/>
                <w:lang w:val="es-ES"/>
              </w:rPr>
            </w:pPr>
          </w:p>
        </w:tc>
      </w:tr>
      <w:tr w:rsidR="006B3412" w:rsidRPr="005865FE" w14:paraId="78E81197" w14:textId="77777777" w:rsidTr="0066692A">
        <w:trPr>
          <w:cantSplit/>
        </w:trPr>
        <w:tc>
          <w:tcPr>
            <w:tcW w:w="4320" w:type="dxa"/>
            <w:tcMar>
              <w:top w:w="0" w:type="dxa"/>
            </w:tcMar>
          </w:tcPr>
          <w:p w14:paraId="448AF82B" w14:textId="77777777" w:rsidR="00FF1ED8" w:rsidRPr="005865FE" w:rsidRDefault="00FF1ED8" w:rsidP="0066692A">
            <w:pPr>
              <w:pStyle w:val="TableTableau"/>
              <w:keepNext/>
              <w:rPr>
                <w:sz w:val="22"/>
                <w:szCs w:val="22"/>
                <w:lang w:val="es-ES"/>
              </w:rPr>
            </w:pPr>
          </w:p>
        </w:tc>
        <w:tc>
          <w:tcPr>
            <w:tcW w:w="360" w:type="dxa"/>
            <w:tcMar>
              <w:top w:w="0" w:type="dxa"/>
            </w:tcMar>
          </w:tcPr>
          <w:p w14:paraId="225F748C" w14:textId="77777777" w:rsidR="00FF1ED8" w:rsidRPr="005865FE" w:rsidRDefault="00FF1ED8" w:rsidP="0066692A">
            <w:pPr>
              <w:pStyle w:val="TableTableau"/>
              <w:keepNext/>
              <w:rPr>
                <w:sz w:val="22"/>
                <w:szCs w:val="22"/>
                <w:lang w:val="es-ES"/>
              </w:rPr>
            </w:pPr>
          </w:p>
        </w:tc>
        <w:tc>
          <w:tcPr>
            <w:tcW w:w="4680" w:type="dxa"/>
            <w:tcBorders>
              <w:top w:val="single" w:sz="4" w:space="0" w:color="auto"/>
            </w:tcBorders>
            <w:shd w:val="clear" w:color="auto" w:fill="auto"/>
            <w:tcMar>
              <w:top w:w="0" w:type="dxa"/>
            </w:tcMar>
          </w:tcPr>
          <w:p w14:paraId="4306DA0E" w14:textId="77777777" w:rsidR="00FF1ED8" w:rsidRPr="005865FE" w:rsidRDefault="004A7E52" w:rsidP="0066692A">
            <w:pPr>
              <w:pStyle w:val="TableTableau"/>
              <w:keepNext/>
              <w:rPr>
                <w:b/>
                <w:sz w:val="22"/>
                <w:szCs w:val="22"/>
                <w:lang w:val="es-ES"/>
              </w:rPr>
            </w:pPr>
            <w:r w:rsidRPr="005865FE">
              <w:rPr>
                <w:sz w:val="22"/>
                <w:szCs w:val="22"/>
                <w:lang w:val="es-ES"/>
              </w:rPr>
              <w:t>(Firma)</w:t>
            </w:r>
          </w:p>
        </w:tc>
      </w:tr>
      <w:tr w:rsidR="006B3412" w:rsidRPr="005865FE" w14:paraId="5ABFA1DB" w14:textId="77777777" w:rsidTr="0066692A">
        <w:trPr>
          <w:cantSplit/>
        </w:trPr>
        <w:tc>
          <w:tcPr>
            <w:tcW w:w="4320" w:type="dxa"/>
          </w:tcPr>
          <w:p w14:paraId="79F7CB22" w14:textId="77777777" w:rsidR="00FF1ED8" w:rsidRPr="005865FE" w:rsidRDefault="00FF1ED8" w:rsidP="0066692A">
            <w:pPr>
              <w:pStyle w:val="TableTableau"/>
              <w:keepNext/>
              <w:rPr>
                <w:sz w:val="22"/>
                <w:szCs w:val="22"/>
                <w:lang w:val="es-ES"/>
              </w:rPr>
            </w:pPr>
          </w:p>
        </w:tc>
        <w:tc>
          <w:tcPr>
            <w:tcW w:w="360" w:type="dxa"/>
          </w:tcPr>
          <w:p w14:paraId="3238CC2A" w14:textId="77777777" w:rsidR="00FF1ED8" w:rsidRPr="005865FE" w:rsidRDefault="00FF1ED8" w:rsidP="0066692A">
            <w:pPr>
              <w:pStyle w:val="TableTableau"/>
              <w:keepNext/>
              <w:rPr>
                <w:sz w:val="22"/>
                <w:szCs w:val="22"/>
                <w:lang w:val="es-ES"/>
              </w:rPr>
            </w:pPr>
          </w:p>
        </w:tc>
        <w:tc>
          <w:tcPr>
            <w:tcW w:w="4680" w:type="dxa"/>
            <w:tcBorders>
              <w:bottom w:val="single" w:sz="4" w:space="0" w:color="auto"/>
            </w:tcBorders>
            <w:shd w:val="clear" w:color="auto" w:fill="auto"/>
          </w:tcPr>
          <w:p w14:paraId="47FD47FD" w14:textId="77777777" w:rsidR="00FF1ED8" w:rsidRPr="005865FE" w:rsidRDefault="00FF1ED8" w:rsidP="0066692A">
            <w:pPr>
              <w:pStyle w:val="TableTableau"/>
              <w:keepNext/>
              <w:rPr>
                <w:sz w:val="22"/>
                <w:szCs w:val="22"/>
                <w:lang w:val="es-ES"/>
              </w:rPr>
            </w:pPr>
          </w:p>
        </w:tc>
      </w:tr>
      <w:tr w:rsidR="006B3412" w:rsidRPr="00E81881" w14:paraId="1B5DA08B" w14:textId="77777777" w:rsidTr="0066692A">
        <w:trPr>
          <w:cantSplit/>
        </w:trPr>
        <w:tc>
          <w:tcPr>
            <w:tcW w:w="4320" w:type="dxa"/>
            <w:tcMar>
              <w:top w:w="0" w:type="dxa"/>
            </w:tcMar>
          </w:tcPr>
          <w:p w14:paraId="04B12C73" w14:textId="77777777" w:rsidR="00FF1ED8" w:rsidRPr="005865FE" w:rsidRDefault="00FF1ED8" w:rsidP="0066692A">
            <w:pPr>
              <w:pStyle w:val="TableTableau"/>
              <w:keepNext/>
              <w:rPr>
                <w:sz w:val="22"/>
                <w:szCs w:val="22"/>
                <w:lang w:val="es-ES"/>
              </w:rPr>
            </w:pPr>
          </w:p>
        </w:tc>
        <w:tc>
          <w:tcPr>
            <w:tcW w:w="360" w:type="dxa"/>
            <w:tcMar>
              <w:top w:w="0" w:type="dxa"/>
            </w:tcMar>
          </w:tcPr>
          <w:p w14:paraId="1C02DBBF" w14:textId="77777777" w:rsidR="00FF1ED8" w:rsidRPr="005865FE" w:rsidRDefault="00FF1ED8" w:rsidP="0066692A">
            <w:pPr>
              <w:pStyle w:val="TableTableau"/>
              <w:keepNext/>
              <w:rPr>
                <w:sz w:val="22"/>
                <w:szCs w:val="22"/>
                <w:lang w:val="es-ES"/>
              </w:rPr>
            </w:pPr>
          </w:p>
        </w:tc>
        <w:tc>
          <w:tcPr>
            <w:tcW w:w="4680" w:type="dxa"/>
            <w:tcBorders>
              <w:top w:val="single" w:sz="4" w:space="0" w:color="auto"/>
            </w:tcBorders>
            <w:shd w:val="clear" w:color="auto" w:fill="auto"/>
            <w:tcMar>
              <w:top w:w="0" w:type="dxa"/>
            </w:tcMar>
          </w:tcPr>
          <w:p w14:paraId="34B4E90E" w14:textId="1A31ED4C" w:rsidR="00FF1ED8" w:rsidRPr="005865FE" w:rsidRDefault="00123553" w:rsidP="0066692A">
            <w:pPr>
              <w:pStyle w:val="TableTableau"/>
              <w:keepNext/>
              <w:jc w:val="both"/>
              <w:rPr>
                <w:b/>
                <w:sz w:val="22"/>
                <w:szCs w:val="22"/>
                <w:lang w:val="es-ES"/>
              </w:rPr>
            </w:pPr>
            <w:r w:rsidRPr="005865FE">
              <w:rPr>
                <w:sz w:val="22"/>
                <w:szCs w:val="22"/>
                <w:lang w:val="es-ES"/>
              </w:rPr>
              <w:t>(Nombre del tenedor de valores controlante – en letra de imprenta)</w:t>
            </w:r>
          </w:p>
        </w:tc>
      </w:tr>
      <w:tr w:rsidR="006B3412" w:rsidRPr="00E81881" w14:paraId="463E71B2" w14:textId="77777777" w:rsidTr="0066692A">
        <w:trPr>
          <w:cantSplit/>
        </w:trPr>
        <w:tc>
          <w:tcPr>
            <w:tcW w:w="4320" w:type="dxa"/>
          </w:tcPr>
          <w:p w14:paraId="71E4C1E5" w14:textId="77777777" w:rsidR="00FF1ED8" w:rsidRPr="005865FE" w:rsidRDefault="00FF1ED8" w:rsidP="0066692A">
            <w:pPr>
              <w:pStyle w:val="TableTableau"/>
              <w:keepNext/>
              <w:rPr>
                <w:sz w:val="22"/>
                <w:szCs w:val="22"/>
                <w:lang w:val="es-ES"/>
              </w:rPr>
            </w:pPr>
          </w:p>
        </w:tc>
        <w:tc>
          <w:tcPr>
            <w:tcW w:w="360" w:type="dxa"/>
          </w:tcPr>
          <w:p w14:paraId="6FEF6061" w14:textId="77777777" w:rsidR="00FF1ED8" w:rsidRPr="005865FE" w:rsidRDefault="00FF1ED8" w:rsidP="0066692A">
            <w:pPr>
              <w:pStyle w:val="TableTableau"/>
              <w:keepNext/>
              <w:rPr>
                <w:sz w:val="22"/>
                <w:szCs w:val="22"/>
                <w:lang w:val="es-ES"/>
              </w:rPr>
            </w:pPr>
          </w:p>
        </w:tc>
        <w:tc>
          <w:tcPr>
            <w:tcW w:w="4680" w:type="dxa"/>
            <w:tcBorders>
              <w:bottom w:val="single" w:sz="4" w:space="0" w:color="auto"/>
            </w:tcBorders>
            <w:shd w:val="clear" w:color="auto" w:fill="auto"/>
          </w:tcPr>
          <w:p w14:paraId="4D51628C" w14:textId="77777777" w:rsidR="00FF1ED8" w:rsidRPr="005865FE" w:rsidRDefault="00FF1ED8" w:rsidP="0066692A">
            <w:pPr>
              <w:pStyle w:val="TableTableau"/>
              <w:keepNext/>
              <w:rPr>
                <w:sz w:val="22"/>
                <w:szCs w:val="22"/>
                <w:lang w:val="es-ES"/>
              </w:rPr>
            </w:pPr>
          </w:p>
        </w:tc>
      </w:tr>
      <w:tr w:rsidR="006B3412" w:rsidRPr="005865FE" w14:paraId="18D85A99" w14:textId="77777777" w:rsidTr="0066692A">
        <w:trPr>
          <w:cantSplit/>
        </w:trPr>
        <w:tc>
          <w:tcPr>
            <w:tcW w:w="4320" w:type="dxa"/>
            <w:tcMar>
              <w:top w:w="0" w:type="dxa"/>
            </w:tcMar>
          </w:tcPr>
          <w:p w14:paraId="649C9586" w14:textId="77777777" w:rsidR="00FF1ED8" w:rsidRPr="005865FE" w:rsidRDefault="00FF1ED8" w:rsidP="0066692A">
            <w:pPr>
              <w:pStyle w:val="TableTableau"/>
              <w:keepNext/>
              <w:rPr>
                <w:sz w:val="22"/>
                <w:szCs w:val="22"/>
                <w:lang w:val="es-ES"/>
              </w:rPr>
            </w:pPr>
          </w:p>
        </w:tc>
        <w:tc>
          <w:tcPr>
            <w:tcW w:w="360" w:type="dxa"/>
            <w:tcMar>
              <w:top w:w="0" w:type="dxa"/>
            </w:tcMar>
          </w:tcPr>
          <w:p w14:paraId="66212A0B" w14:textId="77777777" w:rsidR="00FF1ED8" w:rsidRPr="005865FE" w:rsidRDefault="00FF1ED8" w:rsidP="0066692A">
            <w:pPr>
              <w:pStyle w:val="TableTableau"/>
              <w:keepNext/>
              <w:rPr>
                <w:sz w:val="22"/>
                <w:szCs w:val="22"/>
                <w:lang w:val="es-ES"/>
              </w:rPr>
            </w:pPr>
          </w:p>
        </w:tc>
        <w:tc>
          <w:tcPr>
            <w:tcW w:w="4680" w:type="dxa"/>
            <w:tcBorders>
              <w:top w:val="single" w:sz="4" w:space="0" w:color="auto"/>
            </w:tcBorders>
            <w:shd w:val="clear" w:color="auto" w:fill="auto"/>
            <w:tcMar>
              <w:top w:w="0" w:type="dxa"/>
            </w:tcMar>
          </w:tcPr>
          <w:p w14:paraId="2156C536" w14:textId="77777777" w:rsidR="00FF1ED8" w:rsidRPr="005865FE" w:rsidRDefault="004A7E52" w:rsidP="0066692A">
            <w:pPr>
              <w:pStyle w:val="TableTableau"/>
              <w:keepNext/>
              <w:rPr>
                <w:b/>
                <w:sz w:val="22"/>
                <w:szCs w:val="22"/>
                <w:lang w:val="es-ES"/>
              </w:rPr>
            </w:pPr>
            <w:r w:rsidRPr="005865FE">
              <w:rPr>
                <w:sz w:val="22"/>
                <w:szCs w:val="22"/>
                <w:lang w:val="es-ES"/>
              </w:rPr>
              <w:t>(Firma)</w:t>
            </w:r>
          </w:p>
        </w:tc>
      </w:tr>
      <w:tr w:rsidR="006B3412" w:rsidRPr="005865FE" w14:paraId="407452E9" w14:textId="77777777" w:rsidTr="0066692A">
        <w:trPr>
          <w:cantSplit/>
        </w:trPr>
        <w:tc>
          <w:tcPr>
            <w:tcW w:w="4320" w:type="dxa"/>
          </w:tcPr>
          <w:p w14:paraId="3F1858FA" w14:textId="77777777" w:rsidR="00FF1ED8" w:rsidRPr="005865FE" w:rsidRDefault="00FF1ED8" w:rsidP="0066692A">
            <w:pPr>
              <w:pStyle w:val="TableTableau"/>
              <w:keepNext/>
              <w:rPr>
                <w:sz w:val="22"/>
                <w:szCs w:val="22"/>
                <w:lang w:val="es-ES"/>
              </w:rPr>
            </w:pPr>
          </w:p>
        </w:tc>
        <w:tc>
          <w:tcPr>
            <w:tcW w:w="360" w:type="dxa"/>
          </w:tcPr>
          <w:p w14:paraId="241A4DE8" w14:textId="77777777" w:rsidR="00FF1ED8" w:rsidRPr="005865FE" w:rsidRDefault="00FF1ED8" w:rsidP="0066692A">
            <w:pPr>
              <w:pStyle w:val="TableTableau"/>
              <w:keepNext/>
              <w:rPr>
                <w:sz w:val="22"/>
                <w:szCs w:val="22"/>
                <w:lang w:val="es-ES"/>
              </w:rPr>
            </w:pPr>
          </w:p>
        </w:tc>
        <w:tc>
          <w:tcPr>
            <w:tcW w:w="4680" w:type="dxa"/>
            <w:tcBorders>
              <w:bottom w:val="single" w:sz="4" w:space="0" w:color="auto"/>
            </w:tcBorders>
            <w:shd w:val="clear" w:color="auto" w:fill="auto"/>
          </w:tcPr>
          <w:p w14:paraId="202B8404" w14:textId="77777777" w:rsidR="00FF1ED8" w:rsidRPr="005865FE" w:rsidRDefault="00FF1ED8" w:rsidP="0066692A">
            <w:pPr>
              <w:pStyle w:val="TableTableau"/>
              <w:keepNext/>
              <w:rPr>
                <w:sz w:val="22"/>
                <w:szCs w:val="22"/>
                <w:lang w:val="es-ES"/>
              </w:rPr>
            </w:pPr>
          </w:p>
        </w:tc>
      </w:tr>
      <w:tr w:rsidR="006B3412" w:rsidRPr="00E81881" w14:paraId="20E6FB90" w14:textId="77777777" w:rsidTr="0066692A">
        <w:trPr>
          <w:cantSplit/>
        </w:trPr>
        <w:tc>
          <w:tcPr>
            <w:tcW w:w="4320" w:type="dxa"/>
            <w:tcMar>
              <w:top w:w="0" w:type="dxa"/>
            </w:tcMar>
          </w:tcPr>
          <w:p w14:paraId="499D9D18" w14:textId="77777777" w:rsidR="00FF1ED8" w:rsidRPr="005865FE" w:rsidRDefault="00FF1ED8" w:rsidP="0066692A">
            <w:pPr>
              <w:pStyle w:val="TableTableau"/>
              <w:keepNext/>
              <w:rPr>
                <w:sz w:val="22"/>
                <w:szCs w:val="22"/>
                <w:lang w:val="es-ES"/>
              </w:rPr>
            </w:pPr>
          </w:p>
        </w:tc>
        <w:tc>
          <w:tcPr>
            <w:tcW w:w="360" w:type="dxa"/>
            <w:tcMar>
              <w:top w:w="0" w:type="dxa"/>
            </w:tcMar>
          </w:tcPr>
          <w:p w14:paraId="3EA08380" w14:textId="77777777" w:rsidR="00FF1ED8" w:rsidRPr="005865FE" w:rsidRDefault="00FF1ED8" w:rsidP="0066692A">
            <w:pPr>
              <w:pStyle w:val="TableTableau"/>
              <w:keepNext/>
              <w:rPr>
                <w:sz w:val="22"/>
                <w:szCs w:val="22"/>
                <w:lang w:val="es-ES"/>
              </w:rPr>
            </w:pPr>
          </w:p>
        </w:tc>
        <w:tc>
          <w:tcPr>
            <w:tcW w:w="4680" w:type="dxa"/>
            <w:tcBorders>
              <w:top w:val="single" w:sz="4" w:space="0" w:color="auto"/>
            </w:tcBorders>
            <w:shd w:val="clear" w:color="auto" w:fill="auto"/>
            <w:tcMar>
              <w:top w:w="0" w:type="dxa"/>
            </w:tcMar>
          </w:tcPr>
          <w:p w14:paraId="2EE1A0EA" w14:textId="4912AEE2" w:rsidR="00FF1ED8" w:rsidRPr="005865FE" w:rsidRDefault="00123553" w:rsidP="0066692A">
            <w:pPr>
              <w:pStyle w:val="TableTableau"/>
              <w:keepNext/>
              <w:rPr>
                <w:b/>
                <w:sz w:val="22"/>
                <w:szCs w:val="22"/>
                <w:lang w:val="es-ES"/>
              </w:rPr>
            </w:pPr>
            <w:r w:rsidRPr="005865FE">
              <w:rPr>
                <w:sz w:val="22"/>
                <w:szCs w:val="22"/>
                <w:lang w:val="es-ES"/>
              </w:rPr>
              <w:t>(Nombre del tenedor de valores controlante – en letra de imprenta)</w:t>
            </w:r>
          </w:p>
        </w:tc>
      </w:tr>
    </w:tbl>
    <w:p w14:paraId="584D92E3" w14:textId="77777777" w:rsidR="00FF1ED8" w:rsidRPr="005865FE" w:rsidRDefault="00FF1ED8">
      <w:pPr>
        <w:pStyle w:val="Subtitle"/>
        <w:rPr>
          <w:lang w:val="es-ES"/>
        </w:rPr>
      </w:pPr>
    </w:p>
    <w:sectPr w:rsidR="00FF1ED8" w:rsidRPr="005865FE">
      <w:pgSz w:w="12240" w:h="15840" w:code="1"/>
      <w:pgMar w:top="1440" w:right="1440" w:bottom="1296" w:left="1440" w:header="720"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AAB5F" w14:textId="77777777" w:rsidR="00206576" w:rsidRDefault="00206576">
      <w:r>
        <w:separator/>
      </w:r>
    </w:p>
  </w:endnote>
  <w:endnote w:type="continuationSeparator" w:id="0">
    <w:p w14:paraId="5CAD81BF" w14:textId="77777777" w:rsidR="00206576" w:rsidRDefault="0020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2E24A" w14:textId="26808E44" w:rsidR="00F6147B" w:rsidRPr="002D7050" w:rsidRDefault="004A7E52">
    <w:pPr>
      <w:pStyle w:val="Footer"/>
      <w:pBdr>
        <w:top w:val="single" w:sz="4" w:space="1" w:color="auto"/>
      </w:pBdr>
      <w:rPr>
        <w:rFonts w:ascii="Century Gothic" w:hAnsi="Century Gothic"/>
        <w:b/>
        <w:sz w:val="22"/>
        <w:lang w:val="es-MX"/>
      </w:rPr>
    </w:pPr>
    <w:r w:rsidRPr="002D7050">
      <w:rPr>
        <w:rFonts w:ascii="Century Gothic" w:hAnsi="Century Gothic"/>
        <w:b/>
        <w:sz w:val="22"/>
        <w:lang w:val="es-MX"/>
      </w:rPr>
      <w:t>FORMULARIO 2F</w:t>
    </w:r>
    <w:r w:rsidRPr="002D7050">
      <w:rPr>
        <w:rFonts w:ascii="Century Gothic" w:hAnsi="Century Gothic"/>
        <w:b/>
        <w:sz w:val="22"/>
        <w:lang w:val="es-MX"/>
      </w:rPr>
      <w:tab/>
    </w:r>
    <w:r w:rsidR="00E45AAE" w:rsidRPr="002D7050">
      <w:rPr>
        <w:rFonts w:ascii="Century Gothic" w:hAnsi="Century Gothic"/>
        <w:b/>
        <w:sz w:val="22"/>
        <w:lang w:val="es-MX"/>
      </w:rPr>
      <w:t xml:space="preserve"> CONTRATO DE CUSTODIA DE LOS VALORES DE UNA CPC</w:t>
    </w:r>
    <w:r w:rsidRPr="0057097C">
      <w:rPr>
        <w:rFonts w:ascii="Century Gothic" w:hAnsi="Century Gothic"/>
        <w:b/>
        <w:sz w:val="24"/>
        <w:szCs w:val="24"/>
        <w:lang w:val="es-MX"/>
      </w:rPr>
      <w:tab/>
    </w:r>
    <w:r w:rsidRPr="002D7050">
      <w:rPr>
        <w:rFonts w:ascii="Century Gothic" w:hAnsi="Century Gothic"/>
        <w:b/>
        <w:sz w:val="22"/>
        <w:lang w:val="es-MX"/>
      </w:rPr>
      <w:t xml:space="preserve">Página </w:t>
    </w:r>
    <w:r w:rsidRPr="002D7050">
      <w:rPr>
        <w:rFonts w:ascii="Century Gothic" w:hAnsi="Century Gothic"/>
        <w:b/>
        <w:sz w:val="22"/>
      </w:rPr>
      <w:fldChar w:fldCharType="begin"/>
    </w:r>
    <w:r w:rsidRPr="002D7050">
      <w:rPr>
        <w:rFonts w:ascii="Century Gothic" w:hAnsi="Century Gothic"/>
        <w:b/>
        <w:sz w:val="22"/>
        <w:lang w:val="es-MX"/>
      </w:rPr>
      <w:instrText xml:space="preserve"> PAGE  \* Arabic  \* MERGEFORMAT </w:instrText>
    </w:r>
    <w:r w:rsidRPr="002D7050">
      <w:rPr>
        <w:rFonts w:ascii="Century Gothic" w:hAnsi="Century Gothic"/>
        <w:b/>
        <w:sz w:val="22"/>
      </w:rPr>
      <w:fldChar w:fldCharType="separate"/>
    </w:r>
    <w:r w:rsidR="00D05808">
      <w:rPr>
        <w:rFonts w:ascii="Century Gothic" w:hAnsi="Century Gothic"/>
        <w:b/>
        <w:noProof/>
        <w:sz w:val="22"/>
        <w:lang w:val="es-MX"/>
      </w:rPr>
      <w:t>20</w:t>
    </w:r>
    <w:r w:rsidRPr="002D7050">
      <w:rPr>
        <w:rFonts w:ascii="Century Gothic" w:hAnsi="Century Gothic"/>
        <w:b/>
        <w:sz w:val="22"/>
      </w:rPr>
      <w:fldChar w:fldCharType="end"/>
    </w:r>
  </w:p>
  <w:p w14:paraId="28101CDB" w14:textId="7F7AF0D5" w:rsidR="00F6147B" w:rsidRPr="00350443" w:rsidRDefault="00BC563F">
    <w:pPr>
      <w:pStyle w:val="Footer"/>
      <w:rPr>
        <w:rFonts w:ascii="Century Gothic" w:hAnsi="Century Gothic"/>
        <w:b/>
        <w:sz w:val="22"/>
      </w:rPr>
    </w:pPr>
    <w:r w:rsidRPr="00350443">
      <w:rPr>
        <w:rFonts w:ascii="Century Gothic" w:hAnsi="Century Gothic"/>
        <w:b/>
        <w:sz w:val="22"/>
      </w:rPr>
      <w:t>(</w:t>
    </w:r>
    <w:r w:rsidR="00195A56" w:rsidRPr="00195A56">
      <w:rPr>
        <w:rFonts w:ascii="Century Gothic" w:hAnsi="Century Gothic"/>
        <w:b/>
        <w:sz w:val="22"/>
      </w:rPr>
      <w:t>al 1 de enero de 2021</w:t>
    </w:r>
    <w:r w:rsidRPr="00350443">
      <w:rPr>
        <w:rFonts w:ascii="Century Gothic" w:hAnsi="Century Gothic"/>
        <w:b/>
        <w:sz w:val="2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5664F" w14:textId="60A77A4E" w:rsidR="00F6147B" w:rsidRPr="0057097C" w:rsidRDefault="004A7E52">
    <w:pPr>
      <w:pStyle w:val="Footer"/>
      <w:pBdr>
        <w:top w:val="single" w:sz="4" w:space="1" w:color="auto"/>
      </w:pBdr>
      <w:rPr>
        <w:rFonts w:ascii="Century Gothic" w:hAnsi="Century Gothic"/>
        <w:b/>
        <w:sz w:val="24"/>
        <w:szCs w:val="24"/>
        <w:lang w:val="es-MX"/>
      </w:rPr>
    </w:pPr>
    <w:r w:rsidRPr="007C5562">
      <w:rPr>
        <w:rFonts w:ascii="Century Gothic" w:hAnsi="Century Gothic"/>
        <w:b/>
        <w:sz w:val="24"/>
        <w:szCs w:val="24"/>
        <w:lang w:val="es-MX"/>
      </w:rPr>
      <w:t>FORMULARIO 2F</w:t>
    </w:r>
    <w:r w:rsidRPr="0057097C">
      <w:rPr>
        <w:rFonts w:ascii="Century Gothic" w:hAnsi="Century Gothic"/>
        <w:b/>
        <w:sz w:val="24"/>
        <w:szCs w:val="24"/>
        <w:lang w:val="es-MX"/>
      </w:rPr>
      <w:tab/>
    </w:r>
    <w:r w:rsidR="00E45AAE" w:rsidRPr="007C5562">
      <w:rPr>
        <w:rFonts w:ascii="Century Gothic" w:hAnsi="Century Gothic"/>
        <w:b/>
        <w:sz w:val="24"/>
        <w:szCs w:val="24"/>
        <w:lang w:val="es-MX"/>
      </w:rPr>
      <w:t xml:space="preserve"> CONTRATO DE CUSTODIA DE LOS VALORES DE UNA CPC</w:t>
    </w:r>
    <w:r w:rsidRPr="0057097C">
      <w:rPr>
        <w:rFonts w:ascii="Century Gothic" w:hAnsi="Century Gothic"/>
        <w:b/>
        <w:sz w:val="24"/>
        <w:szCs w:val="24"/>
        <w:lang w:val="es-MX"/>
      </w:rPr>
      <w:tab/>
    </w:r>
    <w:r w:rsidRPr="007C5562">
      <w:rPr>
        <w:rFonts w:ascii="Century Gothic" w:hAnsi="Century Gothic"/>
        <w:b/>
        <w:sz w:val="24"/>
        <w:szCs w:val="24"/>
        <w:lang w:val="es-MX"/>
      </w:rPr>
      <w:t>Página</w:t>
    </w:r>
    <w:r w:rsidRPr="0057097C">
      <w:rPr>
        <w:rFonts w:ascii="Century Gothic" w:hAnsi="Century Gothic"/>
        <w:b/>
        <w:sz w:val="24"/>
        <w:szCs w:val="24"/>
        <w:lang w:val="es-MX"/>
      </w:rPr>
      <w:t xml:space="preserve"> </w:t>
    </w:r>
    <w:r w:rsidRPr="00044E3E">
      <w:rPr>
        <w:rFonts w:ascii="Century Gothic" w:hAnsi="Century Gothic"/>
        <w:b/>
        <w:sz w:val="24"/>
        <w:szCs w:val="24"/>
      </w:rPr>
      <w:fldChar w:fldCharType="begin"/>
    </w:r>
    <w:r w:rsidRPr="0057097C">
      <w:rPr>
        <w:rFonts w:ascii="Century Gothic" w:hAnsi="Century Gothic"/>
        <w:b/>
        <w:sz w:val="24"/>
        <w:szCs w:val="24"/>
        <w:lang w:val="es-MX"/>
      </w:rPr>
      <w:instrText xml:space="preserve"> PAGE  \* Arabic  \* MERGEFORMAT </w:instrText>
    </w:r>
    <w:r w:rsidRPr="00044E3E">
      <w:rPr>
        <w:rFonts w:ascii="Century Gothic" w:hAnsi="Century Gothic"/>
        <w:b/>
        <w:sz w:val="24"/>
        <w:szCs w:val="24"/>
      </w:rPr>
      <w:fldChar w:fldCharType="separate"/>
    </w:r>
    <w:r w:rsidR="00D05808">
      <w:rPr>
        <w:rFonts w:ascii="Century Gothic" w:hAnsi="Century Gothic"/>
        <w:b/>
        <w:noProof/>
        <w:sz w:val="24"/>
        <w:szCs w:val="24"/>
        <w:lang w:val="es-MX"/>
      </w:rPr>
      <w:t>22</w:t>
    </w:r>
    <w:r w:rsidRPr="00044E3E">
      <w:rPr>
        <w:rFonts w:ascii="Century Gothic" w:hAnsi="Century Gothic"/>
        <w:b/>
        <w:sz w:val="24"/>
        <w:szCs w:val="24"/>
      </w:rPr>
      <w:fldChar w:fldCharType="end"/>
    </w:r>
  </w:p>
  <w:p w14:paraId="7622B4DF" w14:textId="12569870" w:rsidR="00F6147B" w:rsidRPr="00647DFC" w:rsidRDefault="00BC563F">
    <w:pPr>
      <w:pStyle w:val="Footer"/>
      <w:rPr>
        <w:rFonts w:ascii="Century Gothic" w:hAnsi="Century Gothic"/>
        <w:b/>
        <w:sz w:val="24"/>
        <w:szCs w:val="24"/>
      </w:rPr>
    </w:pPr>
    <w:r w:rsidRPr="00647DFC">
      <w:rPr>
        <w:rFonts w:ascii="Century Gothic" w:hAnsi="Century Gothic"/>
        <w:b/>
        <w:sz w:val="24"/>
        <w:szCs w:val="24"/>
      </w:rPr>
      <w:t>(</w:t>
    </w:r>
    <w:r w:rsidR="00195A56" w:rsidRPr="00195A56">
      <w:rPr>
        <w:rFonts w:ascii="Century Gothic" w:hAnsi="Century Gothic"/>
        <w:b/>
        <w:sz w:val="24"/>
        <w:szCs w:val="24"/>
      </w:rPr>
      <w:t>al 1 de enero de 2021</w:t>
    </w:r>
    <w:r w:rsidRPr="00647DFC">
      <w:rPr>
        <w:rFonts w:ascii="Century Gothic" w:hAnsi="Century Gothic"/>
        <w:b/>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B1A5D" w14:textId="77777777" w:rsidR="00206576" w:rsidRDefault="00206576">
      <w:r>
        <w:separator/>
      </w:r>
    </w:p>
  </w:footnote>
  <w:footnote w:type="continuationSeparator" w:id="0">
    <w:p w14:paraId="77FD3479" w14:textId="77777777" w:rsidR="00206576" w:rsidRDefault="00206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2EF0"/>
    <w:multiLevelType w:val="multilevel"/>
    <w:tmpl w:val="A2A412A2"/>
    <w:styleLink w:val="z-listNumA"/>
    <w:lvl w:ilvl="0">
      <w:start w:val="1"/>
      <w:numFmt w:val="decimal"/>
      <w:isLgl/>
      <w:lvlText w:val="Part %1"/>
      <w:lvlJc w:val="left"/>
      <w:pPr>
        <w:tabs>
          <w:tab w:val="num" w:pos="720"/>
        </w:tabs>
        <w:ind w:left="720" w:hanging="720"/>
      </w:pPr>
      <w:rPr>
        <w:b/>
        <w:i w:val="0"/>
        <w:u w:val="none"/>
      </w:rPr>
    </w:lvl>
    <w:lvl w:ilvl="1">
      <w:start w:val="1"/>
      <w:numFmt w:val="decimal"/>
      <w:isLgl/>
      <w:lvlText w:val="%1.%2"/>
      <w:lvlJc w:val="left"/>
      <w:pPr>
        <w:tabs>
          <w:tab w:val="num" w:pos="720"/>
        </w:tabs>
        <w:ind w:left="720" w:hanging="720"/>
      </w:pPr>
      <w:rPr>
        <w:b/>
        <w:i w:val="0"/>
        <w:u w:val="none"/>
      </w:rPr>
    </w:lvl>
    <w:lvl w:ilvl="2">
      <w:start w:val="1"/>
      <w:numFmt w:val="decimal"/>
      <w:lvlText w:val="(%3)"/>
      <w:lvlJc w:val="left"/>
      <w:pPr>
        <w:tabs>
          <w:tab w:val="num" w:pos="720"/>
        </w:tabs>
        <w:ind w:left="720" w:hanging="720"/>
      </w:pPr>
      <w:rPr>
        <w:b w:val="0"/>
        <w:i w:val="0"/>
        <w:u w:val="none"/>
      </w:rPr>
    </w:lvl>
    <w:lvl w:ilvl="3">
      <w:start w:val="1"/>
      <w:numFmt w:val="lowerLetter"/>
      <w:lvlText w:val="(%4)"/>
      <w:lvlJc w:val="left"/>
      <w:pPr>
        <w:tabs>
          <w:tab w:val="num" w:pos="1440"/>
        </w:tabs>
        <w:ind w:left="1440" w:hanging="720"/>
      </w:pPr>
      <w:rPr>
        <w:b w:val="0"/>
        <w:i w:val="0"/>
        <w:u w:val="none"/>
      </w:rPr>
    </w:lvl>
    <w:lvl w:ilvl="4">
      <w:start w:val="1"/>
      <w:numFmt w:val="lowerRoman"/>
      <w:lvlText w:val="(%5)"/>
      <w:lvlJc w:val="left"/>
      <w:pPr>
        <w:tabs>
          <w:tab w:val="num" w:pos="2160"/>
        </w:tabs>
        <w:ind w:left="2160" w:hanging="720"/>
      </w:pPr>
      <w:rPr>
        <w:b w:val="0"/>
        <w:i w:val="0"/>
        <w:u w:val="none"/>
      </w:rPr>
    </w:lvl>
    <w:lvl w:ilvl="5">
      <w:start w:val="1"/>
      <w:numFmt w:val="upperLetter"/>
      <w:lvlText w:val="(%6)"/>
      <w:lvlJc w:val="left"/>
      <w:pPr>
        <w:tabs>
          <w:tab w:val="num" w:pos="2880"/>
        </w:tabs>
        <w:ind w:left="2880" w:hanging="720"/>
      </w:pPr>
      <w:rPr>
        <w:b w:val="0"/>
        <w:i w:val="0"/>
        <w:u w:val="none"/>
      </w:rPr>
    </w:lvl>
    <w:lvl w:ilvl="6">
      <w:start w:val="1"/>
      <w:numFmt w:val="upperRoman"/>
      <w:lvlText w:val="(%7)"/>
      <w:lvlJc w:val="left"/>
      <w:pPr>
        <w:tabs>
          <w:tab w:val="num" w:pos="3600"/>
        </w:tabs>
        <w:ind w:left="3600" w:hanging="720"/>
      </w:pPr>
      <w:rPr>
        <w:b w:val="0"/>
        <w:i w:val="0"/>
        <w:u w:val="none"/>
      </w:rPr>
    </w:lvl>
    <w:lvl w:ilvl="7">
      <w:start w:val="1"/>
      <w:numFmt w:val="decimal"/>
      <w:lvlText w:val="(%8)"/>
      <w:lvlJc w:val="left"/>
      <w:pPr>
        <w:tabs>
          <w:tab w:val="num" w:pos="4320"/>
        </w:tabs>
        <w:ind w:left="4320" w:hanging="720"/>
      </w:pPr>
      <w:rPr>
        <w:b w:val="0"/>
        <w:i w:val="0"/>
        <w:u w:val="none"/>
      </w:rPr>
    </w:lvl>
    <w:lvl w:ilvl="8">
      <w:start w:val="1"/>
      <w:numFmt w:val="lowerLetter"/>
      <w:lvlText w:val="%9."/>
      <w:lvlJc w:val="left"/>
      <w:pPr>
        <w:tabs>
          <w:tab w:val="num" w:pos="5040"/>
        </w:tabs>
        <w:ind w:left="5040" w:hanging="720"/>
      </w:pPr>
      <w:rPr>
        <w:b w:val="0"/>
        <w:i w:val="0"/>
        <w:u w:val="none"/>
      </w:rPr>
    </w:lvl>
  </w:abstractNum>
  <w:abstractNum w:abstractNumId="1" w15:restartNumberingAfterBreak="0">
    <w:nsid w:val="26E37D6E"/>
    <w:multiLevelType w:val="multilevel"/>
    <w:tmpl w:val="2F507FE0"/>
    <w:name w:val="Heading"/>
    <w:styleLink w:val="z-listHeading"/>
    <w:lvl w:ilvl="0">
      <w:start w:val="1"/>
      <w:numFmt w:val="none"/>
      <w:pStyle w:val="Heading1"/>
      <w:suff w:val="nothing"/>
      <w:lvlText w:val=""/>
      <w:lvlJc w:val="left"/>
      <w:pPr>
        <w:tabs>
          <w:tab w:val="num" w:pos="0"/>
        </w:tabs>
        <w:ind w:left="0" w:firstLine="0"/>
      </w:pPr>
      <w:rPr>
        <w:b w:val="0"/>
        <w:i w:val="0"/>
        <w:u w:val="none"/>
      </w:rPr>
    </w:lvl>
    <w:lvl w:ilvl="1">
      <w:start w:val="1"/>
      <w:numFmt w:val="none"/>
      <w:pStyle w:val="Heading2"/>
      <w:suff w:val="nothing"/>
      <w:lvlText w:val=""/>
      <w:lvlJc w:val="left"/>
      <w:pPr>
        <w:tabs>
          <w:tab w:val="num" w:pos="0"/>
        </w:tabs>
        <w:ind w:left="0" w:firstLine="0"/>
      </w:pPr>
      <w:rPr>
        <w:b w:val="0"/>
        <w:i w:val="0"/>
        <w:u w:val="none"/>
      </w:rPr>
    </w:lvl>
    <w:lvl w:ilvl="2">
      <w:start w:val="1"/>
      <w:numFmt w:val="none"/>
      <w:pStyle w:val="Heading3"/>
      <w:suff w:val="nothing"/>
      <w:lvlText w:val=""/>
      <w:lvlJc w:val="left"/>
      <w:pPr>
        <w:tabs>
          <w:tab w:val="num" w:pos="0"/>
        </w:tabs>
        <w:ind w:left="0" w:firstLine="0"/>
      </w:pPr>
      <w:rPr>
        <w:b w:val="0"/>
        <w:i w:val="0"/>
        <w:u w:val="none"/>
      </w:rPr>
    </w:lvl>
    <w:lvl w:ilvl="3">
      <w:start w:val="1"/>
      <w:numFmt w:val="none"/>
      <w:pStyle w:val="Heading4"/>
      <w:suff w:val="nothing"/>
      <w:lvlText w:val=""/>
      <w:lvlJc w:val="left"/>
      <w:pPr>
        <w:tabs>
          <w:tab w:val="num" w:pos="0"/>
        </w:tabs>
        <w:ind w:left="0" w:firstLine="0"/>
      </w:pPr>
      <w:rPr>
        <w:b w:val="0"/>
        <w:i w:val="0"/>
        <w:u w:val="none"/>
      </w:rPr>
    </w:lvl>
    <w:lvl w:ilvl="4">
      <w:start w:val="1"/>
      <w:numFmt w:val="none"/>
      <w:pStyle w:val="Heading5"/>
      <w:suff w:val="nothing"/>
      <w:lvlText w:val=""/>
      <w:lvlJc w:val="left"/>
      <w:pPr>
        <w:tabs>
          <w:tab w:val="num" w:pos="0"/>
        </w:tabs>
        <w:ind w:left="0" w:firstLine="0"/>
      </w:pPr>
      <w:rPr>
        <w:b w:val="0"/>
        <w:i w:val="0"/>
        <w:u w:val="none"/>
      </w:rPr>
    </w:lvl>
    <w:lvl w:ilvl="5">
      <w:start w:val="1"/>
      <w:numFmt w:val="none"/>
      <w:pStyle w:val="Heading6"/>
      <w:suff w:val="nothing"/>
      <w:lvlText w:val=""/>
      <w:lvlJc w:val="left"/>
      <w:pPr>
        <w:tabs>
          <w:tab w:val="num" w:pos="0"/>
        </w:tabs>
        <w:ind w:left="0" w:firstLine="0"/>
      </w:pPr>
      <w:rPr>
        <w:b w:val="0"/>
        <w:i w:val="0"/>
        <w:u w:val="none"/>
      </w:rPr>
    </w:lvl>
    <w:lvl w:ilvl="6">
      <w:start w:val="1"/>
      <w:numFmt w:val="none"/>
      <w:pStyle w:val="Heading7"/>
      <w:suff w:val="nothing"/>
      <w:lvlText w:val=""/>
      <w:lvlJc w:val="left"/>
      <w:pPr>
        <w:tabs>
          <w:tab w:val="num" w:pos="0"/>
        </w:tabs>
        <w:ind w:left="0" w:firstLine="0"/>
      </w:pPr>
      <w:rPr>
        <w:b w:val="0"/>
        <w:i w:val="0"/>
        <w:u w:val="none"/>
      </w:rPr>
    </w:lvl>
    <w:lvl w:ilvl="7">
      <w:start w:val="1"/>
      <w:numFmt w:val="none"/>
      <w:pStyle w:val="Heading8"/>
      <w:suff w:val="nothing"/>
      <w:lvlText w:val=""/>
      <w:lvlJc w:val="left"/>
      <w:pPr>
        <w:tabs>
          <w:tab w:val="num" w:pos="0"/>
        </w:tabs>
        <w:ind w:left="0" w:firstLine="0"/>
      </w:pPr>
      <w:rPr>
        <w:b w:val="0"/>
        <w:i w:val="0"/>
        <w:u w:val="none"/>
      </w:rPr>
    </w:lvl>
    <w:lvl w:ilvl="8">
      <w:start w:val="1"/>
      <w:numFmt w:val="none"/>
      <w:pStyle w:val="Heading9"/>
      <w:suff w:val="nothing"/>
      <w:lvlText w:val=""/>
      <w:lvlJc w:val="left"/>
      <w:pPr>
        <w:tabs>
          <w:tab w:val="num" w:pos="0"/>
        </w:tabs>
        <w:ind w:left="0" w:firstLine="0"/>
      </w:pPr>
      <w:rPr>
        <w:b w:val="0"/>
        <w:i w:val="0"/>
        <w:u w:val="none"/>
      </w:rPr>
    </w:lvl>
  </w:abstractNum>
  <w:abstractNum w:abstractNumId="2" w15:restartNumberingAfterBreak="0">
    <w:nsid w:val="34473A7E"/>
    <w:multiLevelType w:val="multilevel"/>
    <w:tmpl w:val="FFCA714C"/>
    <w:lvl w:ilvl="0">
      <w:start w:val="1"/>
      <w:numFmt w:val="decimal"/>
      <w:pStyle w:val="NumA1"/>
      <w:isLgl/>
      <w:lvlText w:val="PARTE %1"/>
      <w:lvlJc w:val="left"/>
      <w:pPr>
        <w:tabs>
          <w:tab w:val="num" w:pos="720"/>
        </w:tabs>
        <w:ind w:left="720" w:hanging="720"/>
      </w:pPr>
      <w:rPr>
        <w:rFonts w:hint="default"/>
        <w:b/>
        <w:i w:val="0"/>
        <w:u w:val="none"/>
      </w:rPr>
    </w:lvl>
    <w:lvl w:ilvl="1">
      <w:start w:val="1"/>
      <w:numFmt w:val="decimal"/>
      <w:pStyle w:val="NumA2"/>
      <w:isLgl/>
      <w:lvlText w:val="%1.%2"/>
      <w:lvlJc w:val="left"/>
      <w:pPr>
        <w:tabs>
          <w:tab w:val="num" w:pos="720"/>
        </w:tabs>
        <w:ind w:left="720" w:hanging="720"/>
      </w:pPr>
      <w:rPr>
        <w:rFonts w:hint="default"/>
        <w:b/>
        <w:i w:val="0"/>
        <w:u w:val="none"/>
      </w:rPr>
    </w:lvl>
    <w:lvl w:ilvl="2">
      <w:start w:val="1"/>
      <w:numFmt w:val="decimal"/>
      <w:pStyle w:val="NumA3"/>
      <w:lvlText w:val="(%3)"/>
      <w:lvlJc w:val="left"/>
      <w:pPr>
        <w:tabs>
          <w:tab w:val="num" w:pos="720"/>
        </w:tabs>
        <w:ind w:left="720" w:hanging="720"/>
      </w:pPr>
      <w:rPr>
        <w:rFonts w:hint="default"/>
        <w:b w:val="0"/>
        <w:i w:val="0"/>
        <w:u w:val="none"/>
      </w:rPr>
    </w:lvl>
    <w:lvl w:ilvl="3">
      <w:start w:val="1"/>
      <w:numFmt w:val="lowerLetter"/>
      <w:pStyle w:val="NumA4"/>
      <w:lvlText w:val="(%4)"/>
      <w:lvlJc w:val="left"/>
      <w:pPr>
        <w:tabs>
          <w:tab w:val="num" w:pos="1440"/>
        </w:tabs>
        <w:ind w:left="1440" w:hanging="720"/>
      </w:pPr>
      <w:rPr>
        <w:rFonts w:hint="default"/>
        <w:b w:val="0"/>
        <w:i w:val="0"/>
        <w:u w:val="none"/>
      </w:rPr>
    </w:lvl>
    <w:lvl w:ilvl="4">
      <w:start w:val="1"/>
      <w:numFmt w:val="lowerRoman"/>
      <w:pStyle w:val="NumA5"/>
      <w:lvlText w:val="(%5)"/>
      <w:lvlJc w:val="left"/>
      <w:pPr>
        <w:tabs>
          <w:tab w:val="num" w:pos="2160"/>
        </w:tabs>
        <w:ind w:left="2160" w:hanging="720"/>
      </w:pPr>
      <w:rPr>
        <w:rFonts w:hint="default"/>
        <w:b w:val="0"/>
        <w:i w:val="0"/>
        <w:u w:val="none"/>
      </w:rPr>
    </w:lvl>
    <w:lvl w:ilvl="5">
      <w:start w:val="1"/>
      <w:numFmt w:val="upperLetter"/>
      <w:pStyle w:val="NumA6"/>
      <w:lvlText w:val="(%6)"/>
      <w:lvlJc w:val="left"/>
      <w:pPr>
        <w:tabs>
          <w:tab w:val="num" w:pos="2880"/>
        </w:tabs>
        <w:ind w:left="2880" w:hanging="720"/>
      </w:pPr>
      <w:rPr>
        <w:rFonts w:hint="default"/>
        <w:b w:val="0"/>
        <w:i w:val="0"/>
        <w:u w:val="none"/>
      </w:rPr>
    </w:lvl>
    <w:lvl w:ilvl="6">
      <w:start w:val="1"/>
      <w:numFmt w:val="upperRoman"/>
      <w:pStyle w:val="NumA7"/>
      <w:lvlText w:val="(%7)"/>
      <w:lvlJc w:val="left"/>
      <w:pPr>
        <w:tabs>
          <w:tab w:val="num" w:pos="3600"/>
        </w:tabs>
        <w:ind w:left="3600" w:hanging="720"/>
      </w:pPr>
      <w:rPr>
        <w:rFonts w:hint="default"/>
        <w:b w:val="0"/>
        <w:i w:val="0"/>
        <w:u w:val="none"/>
      </w:rPr>
    </w:lvl>
    <w:lvl w:ilvl="7">
      <w:start w:val="1"/>
      <w:numFmt w:val="decimal"/>
      <w:pStyle w:val="NumA8"/>
      <w:lvlText w:val="(%8)"/>
      <w:lvlJc w:val="left"/>
      <w:pPr>
        <w:tabs>
          <w:tab w:val="num" w:pos="4320"/>
        </w:tabs>
        <w:ind w:left="4320" w:hanging="720"/>
      </w:pPr>
      <w:rPr>
        <w:rFonts w:hint="default"/>
        <w:b w:val="0"/>
        <w:i w:val="0"/>
        <w:u w:val="none"/>
      </w:rPr>
    </w:lvl>
    <w:lvl w:ilvl="8">
      <w:start w:val="1"/>
      <w:numFmt w:val="lowerLetter"/>
      <w:pStyle w:val="NumA9"/>
      <w:lvlText w:val="%9."/>
      <w:lvlJc w:val="left"/>
      <w:pPr>
        <w:tabs>
          <w:tab w:val="num" w:pos="5040"/>
        </w:tabs>
        <w:ind w:left="5040" w:hanging="720"/>
      </w:pPr>
      <w:rPr>
        <w:rFonts w:hint="default"/>
        <w:b w:val="0"/>
        <w:i w:val="0"/>
        <w:u w:val="none"/>
      </w:rPr>
    </w:lvl>
  </w:abstractNum>
  <w:abstractNum w:abstractNumId="3" w15:restartNumberingAfterBreak="0">
    <w:nsid w:val="55321BC8"/>
    <w:multiLevelType w:val="multilevel"/>
    <w:tmpl w:val="902C550C"/>
    <w:name w:val="Bullet"/>
    <w:styleLink w:val="z-listBullet"/>
    <w:lvl w:ilvl="0">
      <w:start w:val="1"/>
      <w:numFmt w:val="bullet"/>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abstractNum w:abstractNumId="4" w15:restartNumberingAfterBreak="0">
    <w:nsid w:val="60387C90"/>
    <w:multiLevelType w:val="hybridMultilevel"/>
    <w:tmpl w:val="E1D44632"/>
    <w:lvl w:ilvl="0" w:tplc="06A66DB6">
      <w:numFmt w:val="bullet"/>
      <w:lvlText w:val=""/>
      <w:lvlJc w:val="left"/>
      <w:pPr>
        <w:ind w:left="720" w:hanging="360"/>
      </w:pPr>
      <w:rPr>
        <w:rFonts w:ascii="Symbol" w:eastAsiaTheme="minorHAnsi" w:hAnsi="Symbol" w:cstheme="minorHAnsi" w:hint="default"/>
      </w:rPr>
    </w:lvl>
    <w:lvl w:ilvl="1" w:tplc="7AC0B6B0" w:tentative="1">
      <w:start w:val="1"/>
      <w:numFmt w:val="bullet"/>
      <w:lvlText w:val="o"/>
      <w:lvlJc w:val="left"/>
      <w:pPr>
        <w:ind w:left="1440" w:hanging="360"/>
      </w:pPr>
      <w:rPr>
        <w:rFonts w:ascii="Courier New" w:hAnsi="Courier New" w:cs="Courier New" w:hint="default"/>
      </w:rPr>
    </w:lvl>
    <w:lvl w:ilvl="2" w:tplc="F21CDF10" w:tentative="1">
      <w:start w:val="1"/>
      <w:numFmt w:val="bullet"/>
      <w:lvlText w:val=""/>
      <w:lvlJc w:val="left"/>
      <w:pPr>
        <w:ind w:left="2160" w:hanging="360"/>
      </w:pPr>
      <w:rPr>
        <w:rFonts w:ascii="Wingdings" w:hAnsi="Wingdings" w:hint="default"/>
      </w:rPr>
    </w:lvl>
    <w:lvl w:ilvl="3" w:tplc="2812B314" w:tentative="1">
      <w:start w:val="1"/>
      <w:numFmt w:val="bullet"/>
      <w:lvlText w:val=""/>
      <w:lvlJc w:val="left"/>
      <w:pPr>
        <w:ind w:left="2880" w:hanging="360"/>
      </w:pPr>
      <w:rPr>
        <w:rFonts w:ascii="Symbol" w:hAnsi="Symbol" w:hint="default"/>
      </w:rPr>
    </w:lvl>
    <w:lvl w:ilvl="4" w:tplc="B2DE9E2E" w:tentative="1">
      <w:start w:val="1"/>
      <w:numFmt w:val="bullet"/>
      <w:lvlText w:val="o"/>
      <w:lvlJc w:val="left"/>
      <w:pPr>
        <w:ind w:left="3600" w:hanging="360"/>
      </w:pPr>
      <w:rPr>
        <w:rFonts w:ascii="Courier New" w:hAnsi="Courier New" w:cs="Courier New" w:hint="default"/>
      </w:rPr>
    </w:lvl>
    <w:lvl w:ilvl="5" w:tplc="D5E69902" w:tentative="1">
      <w:start w:val="1"/>
      <w:numFmt w:val="bullet"/>
      <w:lvlText w:val=""/>
      <w:lvlJc w:val="left"/>
      <w:pPr>
        <w:ind w:left="4320" w:hanging="360"/>
      </w:pPr>
      <w:rPr>
        <w:rFonts w:ascii="Wingdings" w:hAnsi="Wingdings" w:hint="default"/>
      </w:rPr>
    </w:lvl>
    <w:lvl w:ilvl="6" w:tplc="8F8A3898" w:tentative="1">
      <w:start w:val="1"/>
      <w:numFmt w:val="bullet"/>
      <w:lvlText w:val=""/>
      <w:lvlJc w:val="left"/>
      <w:pPr>
        <w:ind w:left="5040" w:hanging="360"/>
      </w:pPr>
      <w:rPr>
        <w:rFonts w:ascii="Symbol" w:hAnsi="Symbol" w:hint="default"/>
      </w:rPr>
    </w:lvl>
    <w:lvl w:ilvl="7" w:tplc="7B68A358" w:tentative="1">
      <w:start w:val="1"/>
      <w:numFmt w:val="bullet"/>
      <w:lvlText w:val="o"/>
      <w:lvlJc w:val="left"/>
      <w:pPr>
        <w:ind w:left="5760" w:hanging="360"/>
      </w:pPr>
      <w:rPr>
        <w:rFonts w:ascii="Courier New" w:hAnsi="Courier New" w:cs="Courier New" w:hint="default"/>
      </w:rPr>
    </w:lvl>
    <w:lvl w:ilvl="8" w:tplc="D4B83126"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Scheme_N1" w:val="Num_A"/>
    <w:docVar w:name="N_ONE|Bullet" w:val="B|B|B|B|B|B|B|B|B"/>
    <w:docVar w:name="N_ONE|Heading" w:val="S|S|S|S|S|S|S|S|S"/>
    <w:docVar w:name="N_ONE|Num_A" w:val="S|S|B|B|B|B|B|B|B"/>
    <w:docVar w:name="N_OneCvt" w:val="Y"/>
  </w:docVars>
  <w:rsids>
    <w:rsidRoot w:val="006913AC"/>
    <w:rsid w:val="000015F1"/>
    <w:rsid w:val="000023AD"/>
    <w:rsid w:val="0000728B"/>
    <w:rsid w:val="000112EE"/>
    <w:rsid w:val="0001520C"/>
    <w:rsid w:val="00016358"/>
    <w:rsid w:val="00016A99"/>
    <w:rsid w:val="0002047F"/>
    <w:rsid w:val="0002182B"/>
    <w:rsid w:val="00022A83"/>
    <w:rsid w:val="00024A8E"/>
    <w:rsid w:val="0002517D"/>
    <w:rsid w:val="00025AD9"/>
    <w:rsid w:val="00031393"/>
    <w:rsid w:val="000332C8"/>
    <w:rsid w:val="0003398E"/>
    <w:rsid w:val="00034D7F"/>
    <w:rsid w:val="00036813"/>
    <w:rsid w:val="0003758A"/>
    <w:rsid w:val="00037B2C"/>
    <w:rsid w:val="00044267"/>
    <w:rsid w:val="000442DB"/>
    <w:rsid w:val="00044E3E"/>
    <w:rsid w:val="000525AD"/>
    <w:rsid w:val="00055E78"/>
    <w:rsid w:val="00060546"/>
    <w:rsid w:val="00065603"/>
    <w:rsid w:val="0007289B"/>
    <w:rsid w:val="000730BD"/>
    <w:rsid w:val="00073D07"/>
    <w:rsid w:val="00074B1F"/>
    <w:rsid w:val="00075DF0"/>
    <w:rsid w:val="00080960"/>
    <w:rsid w:val="0008151F"/>
    <w:rsid w:val="00083438"/>
    <w:rsid w:val="00092BCD"/>
    <w:rsid w:val="00093438"/>
    <w:rsid w:val="00095ED3"/>
    <w:rsid w:val="0009763C"/>
    <w:rsid w:val="00097770"/>
    <w:rsid w:val="000A1409"/>
    <w:rsid w:val="000A1D56"/>
    <w:rsid w:val="000A24B6"/>
    <w:rsid w:val="000B2CFD"/>
    <w:rsid w:val="000B344E"/>
    <w:rsid w:val="000B4F4E"/>
    <w:rsid w:val="000B5679"/>
    <w:rsid w:val="000B5D65"/>
    <w:rsid w:val="000C13F7"/>
    <w:rsid w:val="000D0E27"/>
    <w:rsid w:val="000D329E"/>
    <w:rsid w:val="000D3838"/>
    <w:rsid w:val="000D6000"/>
    <w:rsid w:val="000D706A"/>
    <w:rsid w:val="000D7D1E"/>
    <w:rsid w:val="000E27EB"/>
    <w:rsid w:val="000E5696"/>
    <w:rsid w:val="000E7AFF"/>
    <w:rsid w:val="0010577C"/>
    <w:rsid w:val="00111D00"/>
    <w:rsid w:val="001138C4"/>
    <w:rsid w:val="00122771"/>
    <w:rsid w:val="00123553"/>
    <w:rsid w:val="00125583"/>
    <w:rsid w:val="00127E90"/>
    <w:rsid w:val="00131D20"/>
    <w:rsid w:val="00132AE0"/>
    <w:rsid w:val="001367E9"/>
    <w:rsid w:val="00137386"/>
    <w:rsid w:val="001438A5"/>
    <w:rsid w:val="0015339C"/>
    <w:rsid w:val="00155771"/>
    <w:rsid w:val="00156798"/>
    <w:rsid w:val="001577F9"/>
    <w:rsid w:val="00172D0E"/>
    <w:rsid w:val="00174BE0"/>
    <w:rsid w:val="00175796"/>
    <w:rsid w:val="0017695A"/>
    <w:rsid w:val="00182239"/>
    <w:rsid w:val="00183652"/>
    <w:rsid w:val="00185E2C"/>
    <w:rsid w:val="00186504"/>
    <w:rsid w:val="00191A07"/>
    <w:rsid w:val="00193413"/>
    <w:rsid w:val="001935BF"/>
    <w:rsid w:val="001944EA"/>
    <w:rsid w:val="001957B6"/>
    <w:rsid w:val="00195A56"/>
    <w:rsid w:val="001A0168"/>
    <w:rsid w:val="001A24E0"/>
    <w:rsid w:val="001A4274"/>
    <w:rsid w:val="001B7ACA"/>
    <w:rsid w:val="001B7CB9"/>
    <w:rsid w:val="001C2CF1"/>
    <w:rsid w:val="001C40F4"/>
    <w:rsid w:val="001C7CBA"/>
    <w:rsid w:val="001D2351"/>
    <w:rsid w:val="001D4A1C"/>
    <w:rsid w:val="001E1458"/>
    <w:rsid w:val="001E4031"/>
    <w:rsid w:val="001E7372"/>
    <w:rsid w:val="001F0316"/>
    <w:rsid w:val="001F0771"/>
    <w:rsid w:val="001F37EA"/>
    <w:rsid w:val="001F557E"/>
    <w:rsid w:val="001F637D"/>
    <w:rsid w:val="001F68CF"/>
    <w:rsid w:val="001F6B48"/>
    <w:rsid w:val="00206576"/>
    <w:rsid w:val="00206BAB"/>
    <w:rsid w:val="002117B9"/>
    <w:rsid w:val="00212386"/>
    <w:rsid w:val="002151FE"/>
    <w:rsid w:val="00215A85"/>
    <w:rsid w:val="00216CAF"/>
    <w:rsid w:val="0022131E"/>
    <w:rsid w:val="00222F0E"/>
    <w:rsid w:val="00224487"/>
    <w:rsid w:val="002261B5"/>
    <w:rsid w:val="00226DB2"/>
    <w:rsid w:val="00231DB7"/>
    <w:rsid w:val="00235BEB"/>
    <w:rsid w:val="00252971"/>
    <w:rsid w:val="00263897"/>
    <w:rsid w:val="00266A7A"/>
    <w:rsid w:val="00274895"/>
    <w:rsid w:val="00280987"/>
    <w:rsid w:val="0028255F"/>
    <w:rsid w:val="002844A0"/>
    <w:rsid w:val="0028707F"/>
    <w:rsid w:val="00291213"/>
    <w:rsid w:val="00291913"/>
    <w:rsid w:val="002926A1"/>
    <w:rsid w:val="002927C2"/>
    <w:rsid w:val="00293D68"/>
    <w:rsid w:val="00293F58"/>
    <w:rsid w:val="002968AA"/>
    <w:rsid w:val="002A52EA"/>
    <w:rsid w:val="002B23DD"/>
    <w:rsid w:val="002B2EBD"/>
    <w:rsid w:val="002C46C3"/>
    <w:rsid w:val="002C5683"/>
    <w:rsid w:val="002D69C7"/>
    <w:rsid w:val="002D7050"/>
    <w:rsid w:val="002E048C"/>
    <w:rsid w:val="002E07CA"/>
    <w:rsid w:val="002E2481"/>
    <w:rsid w:val="002E5A25"/>
    <w:rsid w:val="002F2C9B"/>
    <w:rsid w:val="002F2DE8"/>
    <w:rsid w:val="00310923"/>
    <w:rsid w:val="00314F39"/>
    <w:rsid w:val="00317CA3"/>
    <w:rsid w:val="00341CEB"/>
    <w:rsid w:val="0034269C"/>
    <w:rsid w:val="003430EC"/>
    <w:rsid w:val="00347FF3"/>
    <w:rsid w:val="00350443"/>
    <w:rsid w:val="00350E35"/>
    <w:rsid w:val="00354144"/>
    <w:rsid w:val="00365869"/>
    <w:rsid w:val="003715B5"/>
    <w:rsid w:val="003729D4"/>
    <w:rsid w:val="00374BFD"/>
    <w:rsid w:val="00376DE8"/>
    <w:rsid w:val="00380667"/>
    <w:rsid w:val="00380EC1"/>
    <w:rsid w:val="00392B75"/>
    <w:rsid w:val="003A0F72"/>
    <w:rsid w:val="003A179E"/>
    <w:rsid w:val="003A4296"/>
    <w:rsid w:val="003B0A37"/>
    <w:rsid w:val="003B13EF"/>
    <w:rsid w:val="003B5F81"/>
    <w:rsid w:val="003B631D"/>
    <w:rsid w:val="003B6608"/>
    <w:rsid w:val="003C4B7F"/>
    <w:rsid w:val="003D1E1D"/>
    <w:rsid w:val="003D1E61"/>
    <w:rsid w:val="003D3571"/>
    <w:rsid w:val="003E2481"/>
    <w:rsid w:val="003E63CA"/>
    <w:rsid w:val="003E6835"/>
    <w:rsid w:val="003E7053"/>
    <w:rsid w:val="00401B16"/>
    <w:rsid w:val="00401D5A"/>
    <w:rsid w:val="0040222D"/>
    <w:rsid w:val="00405147"/>
    <w:rsid w:val="00420B74"/>
    <w:rsid w:val="00421342"/>
    <w:rsid w:val="00424954"/>
    <w:rsid w:val="00430256"/>
    <w:rsid w:val="00435757"/>
    <w:rsid w:val="004360D7"/>
    <w:rsid w:val="00441C9A"/>
    <w:rsid w:val="004420DE"/>
    <w:rsid w:val="0044320C"/>
    <w:rsid w:val="00445500"/>
    <w:rsid w:val="0044694F"/>
    <w:rsid w:val="0045029E"/>
    <w:rsid w:val="00452086"/>
    <w:rsid w:val="00455E95"/>
    <w:rsid w:val="004568E9"/>
    <w:rsid w:val="00457956"/>
    <w:rsid w:val="00457A30"/>
    <w:rsid w:val="004601A1"/>
    <w:rsid w:val="004615C3"/>
    <w:rsid w:val="00470203"/>
    <w:rsid w:val="00470835"/>
    <w:rsid w:val="0047235D"/>
    <w:rsid w:val="00473CED"/>
    <w:rsid w:val="00475F08"/>
    <w:rsid w:val="00477A7C"/>
    <w:rsid w:val="0048231E"/>
    <w:rsid w:val="00482A1D"/>
    <w:rsid w:val="00482AC9"/>
    <w:rsid w:val="00485FA5"/>
    <w:rsid w:val="00495DC8"/>
    <w:rsid w:val="004969C1"/>
    <w:rsid w:val="004A19BE"/>
    <w:rsid w:val="004A4C11"/>
    <w:rsid w:val="004A7E52"/>
    <w:rsid w:val="004B12B6"/>
    <w:rsid w:val="004B5541"/>
    <w:rsid w:val="004B60BE"/>
    <w:rsid w:val="004D4CE0"/>
    <w:rsid w:val="004D6D5C"/>
    <w:rsid w:val="004E0D80"/>
    <w:rsid w:val="004E1D0F"/>
    <w:rsid w:val="004E2F38"/>
    <w:rsid w:val="004E358A"/>
    <w:rsid w:val="004F2F11"/>
    <w:rsid w:val="004F3C77"/>
    <w:rsid w:val="004F5894"/>
    <w:rsid w:val="004F6F30"/>
    <w:rsid w:val="00501E70"/>
    <w:rsid w:val="00501F45"/>
    <w:rsid w:val="005044D2"/>
    <w:rsid w:val="00511AB9"/>
    <w:rsid w:val="0051232C"/>
    <w:rsid w:val="005175A6"/>
    <w:rsid w:val="00521600"/>
    <w:rsid w:val="00523B6B"/>
    <w:rsid w:val="00523DBF"/>
    <w:rsid w:val="005268C2"/>
    <w:rsid w:val="0052727C"/>
    <w:rsid w:val="005275E6"/>
    <w:rsid w:val="00531F78"/>
    <w:rsid w:val="005359D9"/>
    <w:rsid w:val="00535DD1"/>
    <w:rsid w:val="00543326"/>
    <w:rsid w:val="0054525F"/>
    <w:rsid w:val="00553C6D"/>
    <w:rsid w:val="00555123"/>
    <w:rsid w:val="005552AE"/>
    <w:rsid w:val="00557411"/>
    <w:rsid w:val="005607DB"/>
    <w:rsid w:val="00562840"/>
    <w:rsid w:val="00563C73"/>
    <w:rsid w:val="0057097C"/>
    <w:rsid w:val="005728C6"/>
    <w:rsid w:val="005831A5"/>
    <w:rsid w:val="00585BD7"/>
    <w:rsid w:val="005865FE"/>
    <w:rsid w:val="005879DA"/>
    <w:rsid w:val="005920FC"/>
    <w:rsid w:val="0059625A"/>
    <w:rsid w:val="005A0DD4"/>
    <w:rsid w:val="005A0FA7"/>
    <w:rsid w:val="005B271C"/>
    <w:rsid w:val="005B3F21"/>
    <w:rsid w:val="005B5B0A"/>
    <w:rsid w:val="005C09CB"/>
    <w:rsid w:val="005C54F9"/>
    <w:rsid w:val="005C6038"/>
    <w:rsid w:val="005D44D9"/>
    <w:rsid w:val="005E470B"/>
    <w:rsid w:val="005E74A7"/>
    <w:rsid w:val="005F076D"/>
    <w:rsid w:val="005F30AF"/>
    <w:rsid w:val="005F6646"/>
    <w:rsid w:val="005F6B09"/>
    <w:rsid w:val="005F7688"/>
    <w:rsid w:val="006164B0"/>
    <w:rsid w:val="00617AE2"/>
    <w:rsid w:val="006224D2"/>
    <w:rsid w:val="006224E1"/>
    <w:rsid w:val="00625738"/>
    <w:rsid w:val="00631A9D"/>
    <w:rsid w:val="00632198"/>
    <w:rsid w:val="0063309E"/>
    <w:rsid w:val="00634A1C"/>
    <w:rsid w:val="0063735B"/>
    <w:rsid w:val="00647DFC"/>
    <w:rsid w:val="00651CE9"/>
    <w:rsid w:val="00652982"/>
    <w:rsid w:val="00653863"/>
    <w:rsid w:val="00660FDA"/>
    <w:rsid w:val="00664EAE"/>
    <w:rsid w:val="0066692A"/>
    <w:rsid w:val="006700F0"/>
    <w:rsid w:val="00670CB5"/>
    <w:rsid w:val="00673CBD"/>
    <w:rsid w:val="00674388"/>
    <w:rsid w:val="00676111"/>
    <w:rsid w:val="00677A32"/>
    <w:rsid w:val="00677F88"/>
    <w:rsid w:val="00686506"/>
    <w:rsid w:val="00687793"/>
    <w:rsid w:val="0068784B"/>
    <w:rsid w:val="006913AC"/>
    <w:rsid w:val="00691436"/>
    <w:rsid w:val="006922BB"/>
    <w:rsid w:val="006975AA"/>
    <w:rsid w:val="006A33DD"/>
    <w:rsid w:val="006A4C91"/>
    <w:rsid w:val="006A5738"/>
    <w:rsid w:val="006A7024"/>
    <w:rsid w:val="006A7B62"/>
    <w:rsid w:val="006B000B"/>
    <w:rsid w:val="006B086B"/>
    <w:rsid w:val="006B32B5"/>
    <w:rsid w:val="006B3412"/>
    <w:rsid w:val="006C722A"/>
    <w:rsid w:val="006D0D06"/>
    <w:rsid w:val="006D0DD4"/>
    <w:rsid w:val="006D24FF"/>
    <w:rsid w:val="006D2680"/>
    <w:rsid w:val="006D63A7"/>
    <w:rsid w:val="006E029F"/>
    <w:rsid w:val="006E0E5D"/>
    <w:rsid w:val="006E0FDC"/>
    <w:rsid w:val="006E1FF1"/>
    <w:rsid w:val="006E3110"/>
    <w:rsid w:val="006E79D0"/>
    <w:rsid w:val="006F21B9"/>
    <w:rsid w:val="006F2693"/>
    <w:rsid w:val="006F6646"/>
    <w:rsid w:val="006F6B07"/>
    <w:rsid w:val="0070174C"/>
    <w:rsid w:val="00704B49"/>
    <w:rsid w:val="00705F7E"/>
    <w:rsid w:val="00712592"/>
    <w:rsid w:val="007131FE"/>
    <w:rsid w:val="007159BC"/>
    <w:rsid w:val="007176EC"/>
    <w:rsid w:val="00721BF1"/>
    <w:rsid w:val="00726540"/>
    <w:rsid w:val="007308FA"/>
    <w:rsid w:val="00733EB0"/>
    <w:rsid w:val="00734823"/>
    <w:rsid w:val="007368CB"/>
    <w:rsid w:val="00737B5E"/>
    <w:rsid w:val="007403E9"/>
    <w:rsid w:val="00740795"/>
    <w:rsid w:val="007420DC"/>
    <w:rsid w:val="00742FC0"/>
    <w:rsid w:val="0074469B"/>
    <w:rsid w:val="00744C19"/>
    <w:rsid w:val="00745F64"/>
    <w:rsid w:val="0074787C"/>
    <w:rsid w:val="0075022D"/>
    <w:rsid w:val="007508DB"/>
    <w:rsid w:val="00751807"/>
    <w:rsid w:val="00751C08"/>
    <w:rsid w:val="007528AB"/>
    <w:rsid w:val="00764338"/>
    <w:rsid w:val="00765A89"/>
    <w:rsid w:val="00780FCD"/>
    <w:rsid w:val="0079216D"/>
    <w:rsid w:val="00795841"/>
    <w:rsid w:val="007A0BAA"/>
    <w:rsid w:val="007A2E50"/>
    <w:rsid w:val="007A4AF3"/>
    <w:rsid w:val="007A65F5"/>
    <w:rsid w:val="007C1421"/>
    <w:rsid w:val="007C3137"/>
    <w:rsid w:val="007C5562"/>
    <w:rsid w:val="007C7C93"/>
    <w:rsid w:val="007D29A6"/>
    <w:rsid w:val="007D420E"/>
    <w:rsid w:val="007D4927"/>
    <w:rsid w:val="007D5B3F"/>
    <w:rsid w:val="007D6E5F"/>
    <w:rsid w:val="007E14E9"/>
    <w:rsid w:val="007E2692"/>
    <w:rsid w:val="007E3301"/>
    <w:rsid w:val="007E6E23"/>
    <w:rsid w:val="007E7B27"/>
    <w:rsid w:val="007F0BE6"/>
    <w:rsid w:val="007F0CF4"/>
    <w:rsid w:val="007F4534"/>
    <w:rsid w:val="00802730"/>
    <w:rsid w:val="00802AD2"/>
    <w:rsid w:val="008063B0"/>
    <w:rsid w:val="008105EA"/>
    <w:rsid w:val="00810DE6"/>
    <w:rsid w:val="00812C6C"/>
    <w:rsid w:val="00814A17"/>
    <w:rsid w:val="00817306"/>
    <w:rsid w:val="00817493"/>
    <w:rsid w:val="00820BD3"/>
    <w:rsid w:val="00822D4C"/>
    <w:rsid w:val="00824BE3"/>
    <w:rsid w:val="00826CAF"/>
    <w:rsid w:val="00827715"/>
    <w:rsid w:val="00833322"/>
    <w:rsid w:val="00834168"/>
    <w:rsid w:val="00840149"/>
    <w:rsid w:val="008420FD"/>
    <w:rsid w:val="00844271"/>
    <w:rsid w:val="0084795D"/>
    <w:rsid w:val="008505CA"/>
    <w:rsid w:val="00851CFF"/>
    <w:rsid w:val="00852315"/>
    <w:rsid w:val="00860D28"/>
    <w:rsid w:val="00862538"/>
    <w:rsid w:val="008715C6"/>
    <w:rsid w:val="00884D0A"/>
    <w:rsid w:val="00886FE6"/>
    <w:rsid w:val="00893A66"/>
    <w:rsid w:val="00897F77"/>
    <w:rsid w:val="008A0D18"/>
    <w:rsid w:val="008A0D40"/>
    <w:rsid w:val="008A1FDA"/>
    <w:rsid w:val="008A4CC4"/>
    <w:rsid w:val="008A6D36"/>
    <w:rsid w:val="008B0565"/>
    <w:rsid w:val="008B45E7"/>
    <w:rsid w:val="008C3BD8"/>
    <w:rsid w:val="008C619F"/>
    <w:rsid w:val="008D04EB"/>
    <w:rsid w:val="008D30F8"/>
    <w:rsid w:val="008D3ECA"/>
    <w:rsid w:val="008D7444"/>
    <w:rsid w:val="008E0119"/>
    <w:rsid w:val="008E58EE"/>
    <w:rsid w:val="008E69AB"/>
    <w:rsid w:val="008E701C"/>
    <w:rsid w:val="008E7D82"/>
    <w:rsid w:val="009037BC"/>
    <w:rsid w:val="00903F29"/>
    <w:rsid w:val="00905438"/>
    <w:rsid w:val="009130CF"/>
    <w:rsid w:val="009179C3"/>
    <w:rsid w:val="0092118B"/>
    <w:rsid w:val="0092457D"/>
    <w:rsid w:val="00927129"/>
    <w:rsid w:val="00927322"/>
    <w:rsid w:val="009301C0"/>
    <w:rsid w:val="00935875"/>
    <w:rsid w:val="00937A68"/>
    <w:rsid w:val="009472D8"/>
    <w:rsid w:val="00947DE1"/>
    <w:rsid w:val="009510A2"/>
    <w:rsid w:val="00954337"/>
    <w:rsid w:val="00954600"/>
    <w:rsid w:val="00954D17"/>
    <w:rsid w:val="00961D36"/>
    <w:rsid w:val="009643E4"/>
    <w:rsid w:val="00965B1B"/>
    <w:rsid w:val="0097114C"/>
    <w:rsid w:val="00971347"/>
    <w:rsid w:val="00971665"/>
    <w:rsid w:val="009722DF"/>
    <w:rsid w:val="009729E3"/>
    <w:rsid w:val="00982FAC"/>
    <w:rsid w:val="00986344"/>
    <w:rsid w:val="00994D47"/>
    <w:rsid w:val="009A1CA6"/>
    <w:rsid w:val="009A4772"/>
    <w:rsid w:val="009A7557"/>
    <w:rsid w:val="009A7782"/>
    <w:rsid w:val="009B039F"/>
    <w:rsid w:val="009B215A"/>
    <w:rsid w:val="009B7DCD"/>
    <w:rsid w:val="009C55A6"/>
    <w:rsid w:val="009D11D1"/>
    <w:rsid w:val="009D194C"/>
    <w:rsid w:val="009D1AFD"/>
    <w:rsid w:val="009D49CC"/>
    <w:rsid w:val="009D73E8"/>
    <w:rsid w:val="009E0F30"/>
    <w:rsid w:val="009E2945"/>
    <w:rsid w:val="009E368C"/>
    <w:rsid w:val="009E59E3"/>
    <w:rsid w:val="009E6485"/>
    <w:rsid w:val="009E7C4F"/>
    <w:rsid w:val="009F103A"/>
    <w:rsid w:val="009F6A11"/>
    <w:rsid w:val="009F6FD0"/>
    <w:rsid w:val="009F73CA"/>
    <w:rsid w:val="00A04C56"/>
    <w:rsid w:val="00A07A11"/>
    <w:rsid w:val="00A10906"/>
    <w:rsid w:val="00A11AD6"/>
    <w:rsid w:val="00A12836"/>
    <w:rsid w:val="00A1334E"/>
    <w:rsid w:val="00A158F5"/>
    <w:rsid w:val="00A16F42"/>
    <w:rsid w:val="00A21685"/>
    <w:rsid w:val="00A22481"/>
    <w:rsid w:val="00A22FEE"/>
    <w:rsid w:val="00A23C10"/>
    <w:rsid w:val="00A2634C"/>
    <w:rsid w:val="00A27378"/>
    <w:rsid w:val="00A27A53"/>
    <w:rsid w:val="00A42914"/>
    <w:rsid w:val="00A43E4F"/>
    <w:rsid w:val="00A50BC5"/>
    <w:rsid w:val="00A54356"/>
    <w:rsid w:val="00A60583"/>
    <w:rsid w:val="00A611A2"/>
    <w:rsid w:val="00A61CA3"/>
    <w:rsid w:val="00A624A0"/>
    <w:rsid w:val="00A649EE"/>
    <w:rsid w:val="00A67DED"/>
    <w:rsid w:val="00A7187B"/>
    <w:rsid w:val="00A77C3B"/>
    <w:rsid w:val="00A77DD6"/>
    <w:rsid w:val="00A803C3"/>
    <w:rsid w:val="00A822EF"/>
    <w:rsid w:val="00A8366E"/>
    <w:rsid w:val="00A913C8"/>
    <w:rsid w:val="00A91C81"/>
    <w:rsid w:val="00A940CA"/>
    <w:rsid w:val="00AA29C4"/>
    <w:rsid w:val="00AA4B47"/>
    <w:rsid w:val="00AB02DB"/>
    <w:rsid w:val="00AB0E24"/>
    <w:rsid w:val="00AB71BB"/>
    <w:rsid w:val="00AC0C06"/>
    <w:rsid w:val="00AC4186"/>
    <w:rsid w:val="00AD0C2F"/>
    <w:rsid w:val="00AD3230"/>
    <w:rsid w:val="00AD723D"/>
    <w:rsid w:val="00AD7A44"/>
    <w:rsid w:val="00AE465E"/>
    <w:rsid w:val="00AE7AA8"/>
    <w:rsid w:val="00AF212A"/>
    <w:rsid w:val="00AF76FD"/>
    <w:rsid w:val="00AF7B33"/>
    <w:rsid w:val="00B003B9"/>
    <w:rsid w:val="00B01F39"/>
    <w:rsid w:val="00B06E01"/>
    <w:rsid w:val="00B15CC9"/>
    <w:rsid w:val="00B24ABE"/>
    <w:rsid w:val="00B32460"/>
    <w:rsid w:val="00B34F7F"/>
    <w:rsid w:val="00B41C45"/>
    <w:rsid w:val="00B41E58"/>
    <w:rsid w:val="00B455C9"/>
    <w:rsid w:val="00B5276C"/>
    <w:rsid w:val="00B65320"/>
    <w:rsid w:val="00B71170"/>
    <w:rsid w:val="00B73EB6"/>
    <w:rsid w:val="00B809F1"/>
    <w:rsid w:val="00B8734D"/>
    <w:rsid w:val="00B8792F"/>
    <w:rsid w:val="00B910F1"/>
    <w:rsid w:val="00B92942"/>
    <w:rsid w:val="00B96CF9"/>
    <w:rsid w:val="00B97A81"/>
    <w:rsid w:val="00BA215B"/>
    <w:rsid w:val="00BA3B7A"/>
    <w:rsid w:val="00BA4FA2"/>
    <w:rsid w:val="00BA6EEB"/>
    <w:rsid w:val="00BA7C33"/>
    <w:rsid w:val="00BB4C99"/>
    <w:rsid w:val="00BB7A52"/>
    <w:rsid w:val="00BC1077"/>
    <w:rsid w:val="00BC25A3"/>
    <w:rsid w:val="00BC563F"/>
    <w:rsid w:val="00BC58A3"/>
    <w:rsid w:val="00BC626B"/>
    <w:rsid w:val="00BD2F55"/>
    <w:rsid w:val="00BD4133"/>
    <w:rsid w:val="00BD587F"/>
    <w:rsid w:val="00BD5ABC"/>
    <w:rsid w:val="00BE4C0D"/>
    <w:rsid w:val="00BF4806"/>
    <w:rsid w:val="00BF52FF"/>
    <w:rsid w:val="00BF608F"/>
    <w:rsid w:val="00C020C4"/>
    <w:rsid w:val="00C04000"/>
    <w:rsid w:val="00C04563"/>
    <w:rsid w:val="00C0473F"/>
    <w:rsid w:val="00C062C0"/>
    <w:rsid w:val="00C07F7D"/>
    <w:rsid w:val="00C14523"/>
    <w:rsid w:val="00C145E1"/>
    <w:rsid w:val="00C156C3"/>
    <w:rsid w:val="00C245F9"/>
    <w:rsid w:val="00C25951"/>
    <w:rsid w:val="00C30480"/>
    <w:rsid w:val="00C328C9"/>
    <w:rsid w:val="00C3328D"/>
    <w:rsid w:val="00C37F13"/>
    <w:rsid w:val="00C427D3"/>
    <w:rsid w:val="00C427FB"/>
    <w:rsid w:val="00C504FB"/>
    <w:rsid w:val="00C52ABB"/>
    <w:rsid w:val="00C55DA4"/>
    <w:rsid w:val="00C570E2"/>
    <w:rsid w:val="00C61CAD"/>
    <w:rsid w:val="00C64DA9"/>
    <w:rsid w:val="00C65B98"/>
    <w:rsid w:val="00C67965"/>
    <w:rsid w:val="00C70D57"/>
    <w:rsid w:val="00C7214E"/>
    <w:rsid w:val="00C735BF"/>
    <w:rsid w:val="00C73D57"/>
    <w:rsid w:val="00C73EBA"/>
    <w:rsid w:val="00C74C9D"/>
    <w:rsid w:val="00C7521E"/>
    <w:rsid w:val="00C77178"/>
    <w:rsid w:val="00C81601"/>
    <w:rsid w:val="00C8236B"/>
    <w:rsid w:val="00C87A58"/>
    <w:rsid w:val="00C97978"/>
    <w:rsid w:val="00CA1E8F"/>
    <w:rsid w:val="00CA25BA"/>
    <w:rsid w:val="00CA2B8F"/>
    <w:rsid w:val="00CA4216"/>
    <w:rsid w:val="00CA5B02"/>
    <w:rsid w:val="00CB35E6"/>
    <w:rsid w:val="00CC1167"/>
    <w:rsid w:val="00CC473F"/>
    <w:rsid w:val="00CC563B"/>
    <w:rsid w:val="00CC6947"/>
    <w:rsid w:val="00CC7B43"/>
    <w:rsid w:val="00CD02A4"/>
    <w:rsid w:val="00CD13C8"/>
    <w:rsid w:val="00CD24B2"/>
    <w:rsid w:val="00CD3273"/>
    <w:rsid w:val="00CD69F9"/>
    <w:rsid w:val="00CE0BD2"/>
    <w:rsid w:val="00CE16F8"/>
    <w:rsid w:val="00CF48E8"/>
    <w:rsid w:val="00CF590C"/>
    <w:rsid w:val="00D00078"/>
    <w:rsid w:val="00D01136"/>
    <w:rsid w:val="00D03B07"/>
    <w:rsid w:val="00D05808"/>
    <w:rsid w:val="00D1387C"/>
    <w:rsid w:val="00D179EE"/>
    <w:rsid w:val="00D21990"/>
    <w:rsid w:val="00D31060"/>
    <w:rsid w:val="00D31D6F"/>
    <w:rsid w:val="00D35FE8"/>
    <w:rsid w:val="00D4236C"/>
    <w:rsid w:val="00D42A67"/>
    <w:rsid w:val="00D46882"/>
    <w:rsid w:val="00D506DA"/>
    <w:rsid w:val="00D51C35"/>
    <w:rsid w:val="00D53B1A"/>
    <w:rsid w:val="00D5590F"/>
    <w:rsid w:val="00D55AC8"/>
    <w:rsid w:val="00D569C9"/>
    <w:rsid w:val="00D574E6"/>
    <w:rsid w:val="00D604BE"/>
    <w:rsid w:val="00D60586"/>
    <w:rsid w:val="00D62DE9"/>
    <w:rsid w:val="00D64A56"/>
    <w:rsid w:val="00D700AF"/>
    <w:rsid w:val="00D721AE"/>
    <w:rsid w:val="00D73C96"/>
    <w:rsid w:val="00D73CD0"/>
    <w:rsid w:val="00D7494C"/>
    <w:rsid w:val="00D753B6"/>
    <w:rsid w:val="00D8199A"/>
    <w:rsid w:val="00D827E2"/>
    <w:rsid w:val="00D82DB5"/>
    <w:rsid w:val="00D9221C"/>
    <w:rsid w:val="00D92D35"/>
    <w:rsid w:val="00D93B61"/>
    <w:rsid w:val="00D9547A"/>
    <w:rsid w:val="00D97F1C"/>
    <w:rsid w:val="00DA10DF"/>
    <w:rsid w:val="00DB1236"/>
    <w:rsid w:val="00DB1646"/>
    <w:rsid w:val="00DB7A48"/>
    <w:rsid w:val="00DC009B"/>
    <w:rsid w:val="00DC034A"/>
    <w:rsid w:val="00DC4878"/>
    <w:rsid w:val="00DD12B4"/>
    <w:rsid w:val="00DD2665"/>
    <w:rsid w:val="00DD3567"/>
    <w:rsid w:val="00DD4469"/>
    <w:rsid w:val="00DD5248"/>
    <w:rsid w:val="00DD6DF3"/>
    <w:rsid w:val="00DE1489"/>
    <w:rsid w:val="00DE49F0"/>
    <w:rsid w:val="00DE6E45"/>
    <w:rsid w:val="00DE7F23"/>
    <w:rsid w:val="00DF207B"/>
    <w:rsid w:val="00DF3A4F"/>
    <w:rsid w:val="00E00F14"/>
    <w:rsid w:val="00E01390"/>
    <w:rsid w:val="00E05C5B"/>
    <w:rsid w:val="00E11E47"/>
    <w:rsid w:val="00E134E6"/>
    <w:rsid w:val="00E161BC"/>
    <w:rsid w:val="00E228D1"/>
    <w:rsid w:val="00E27FCC"/>
    <w:rsid w:val="00E27FEA"/>
    <w:rsid w:val="00E42E0D"/>
    <w:rsid w:val="00E45AAE"/>
    <w:rsid w:val="00E471CA"/>
    <w:rsid w:val="00E52E3A"/>
    <w:rsid w:val="00E54D92"/>
    <w:rsid w:val="00E56556"/>
    <w:rsid w:val="00E630A2"/>
    <w:rsid w:val="00E632D7"/>
    <w:rsid w:val="00E6479E"/>
    <w:rsid w:val="00E67693"/>
    <w:rsid w:val="00E81881"/>
    <w:rsid w:val="00E819C9"/>
    <w:rsid w:val="00E86980"/>
    <w:rsid w:val="00E87C01"/>
    <w:rsid w:val="00E9040B"/>
    <w:rsid w:val="00E93A74"/>
    <w:rsid w:val="00EB0314"/>
    <w:rsid w:val="00EB07BB"/>
    <w:rsid w:val="00EB1199"/>
    <w:rsid w:val="00EB3B6A"/>
    <w:rsid w:val="00EB715D"/>
    <w:rsid w:val="00EC00E8"/>
    <w:rsid w:val="00EC4D88"/>
    <w:rsid w:val="00ED1079"/>
    <w:rsid w:val="00ED5962"/>
    <w:rsid w:val="00EE479D"/>
    <w:rsid w:val="00EE567F"/>
    <w:rsid w:val="00EE73F7"/>
    <w:rsid w:val="00EF140D"/>
    <w:rsid w:val="00EF36E3"/>
    <w:rsid w:val="00EF4674"/>
    <w:rsid w:val="00EF6105"/>
    <w:rsid w:val="00EF7B13"/>
    <w:rsid w:val="00F03F1E"/>
    <w:rsid w:val="00F054D9"/>
    <w:rsid w:val="00F06651"/>
    <w:rsid w:val="00F06C39"/>
    <w:rsid w:val="00F07496"/>
    <w:rsid w:val="00F10BC2"/>
    <w:rsid w:val="00F12B61"/>
    <w:rsid w:val="00F276CE"/>
    <w:rsid w:val="00F27B2A"/>
    <w:rsid w:val="00F33331"/>
    <w:rsid w:val="00F352C8"/>
    <w:rsid w:val="00F35338"/>
    <w:rsid w:val="00F40734"/>
    <w:rsid w:val="00F43BA1"/>
    <w:rsid w:val="00F45F94"/>
    <w:rsid w:val="00F517E6"/>
    <w:rsid w:val="00F51ACC"/>
    <w:rsid w:val="00F52936"/>
    <w:rsid w:val="00F537C4"/>
    <w:rsid w:val="00F6147B"/>
    <w:rsid w:val="00F72809"/>
    <w:rsid w:val="00F72926"/>
    <w:rsid w:val="00F736DF"/>
    <w:rsid w:val="00F73CB6"/>
    <w:rsid w:val="00F74F20"/>
    <w:rsid w:val="00F750DD"/>
    <w:rsid w:val="00F771F8"/>
    <w:rsid w:val="00F77E08"/>
    <w:rsid w:val="00F84113"/>
    <w:rsid w:val="00F9164D"/>
    <w:rsid w:val="00F92178"/>
    <w:rsid w:val="00F92A73"/>
    <w:rsid w:val="00F9360F"/>
    <w:rsid w:val="00F96D9B"/>
    <w:rsid w:val="00F97C1C"/>
    <w:rsid w:val="00FA34D9"/>
    <w:rsid w:val="00FA3F98"/>
    <w:rsid w:val="00FA7273"/>
    <w:rsid w:val="00FB1DBE"/>
    <w:rsid w:val="00FB3BE7"/>
    <w:rsid w:val="00FB4882"/>
    <w:rsid w:val="00FB6974"/>
    <w:rsid w:val="00FB6AF0"/>
    <w:rsid w:val="00FB6ECD"/>
    <w:rsid w:val="00FC07CD"/>
    <w:rsid w:val="00FC3188"/>
    <w:rsid w:val="00FC543B"/>
    <w:rsid w:val="00FC7EDB"/>
    <w:rsid w:val="00FD278C"/>
    <w:rsid w:val="00FD3A75"/>
    <w:rsid w:val="00FD5C43"/>
    <w:rsid w:val="00FD7793"/>
    <w:rsid w:val="00FE1DE9"/>
    <w:rsid w:val="00FE5873"/>
    <w:rsid w:val="00FE7C1A"/>
    <w:rsid w:val="00FF1ED8"/>
    <w:rsid w:val="00FF4F73"/>
    <w:rsid w:val="00FF54B4"/>
    <w:rsid w:val="00FF74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2" w:qFormat="1"/>
    <w:lsdException w:name="heading 2" w:semiHidden="1" w:uiPriority="12" w:unhideWhenUsed="1" w:qFormat="1"/>
    <w:lsdException w:name="heading 3" w:semiHidden="1" w:uiPriority="12" w:unhideWhenUsed="1"/>
    <w:lsdException w:name="heading 4" w:semiHidden="1" w:uiPriority="12" w:unhideWhenUsed="1"/>
    <w:lsdException w:name="heading 5" w:semiHidden="1" w:uiPriority="12" w:unhideWhenUsed="1"/>
    <w:lsdException w:name="heading 6" w:semiHidden="1" w:uiPriority="12" w:unhideWhenUsed="1"/>
    <w:lsdException w:name="heading 7" w:semiHidden="1" w:uiPriority="12" w:unhideWhenUsed="1"/>
    <w:lsdException w:name="heading 8" w:semiHidden="1" w:uiPriority="12" w:unhideWhenUsed="1"/>
    <w:lsdException w:name="heading 9" w:semiHidden="1" w:uiPriority="1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6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iPriority="60" w:unhideWhenUsed="1" w:qFormat="1"/>
    <w:lsdException w:name="Body Text First Indent 2" w:semiHidden="1" w:uiPriority="61" w:unhideWhenUsed="1" w:qFormat="1"/>
    <w:lsdException w:name="Note Heading" w:semiHidden="1" w:unhideWhenUsed="1"/>
    <w:lsdException w:name="Body Text 2" w:semiHidden="1" w:uiPriority="63" w:unhideWhenUsed="1" w:qFormat="1"/>
    <w:lsdException w:name="Body Text 3" w:semiHidden="1" w:uiPriority="63" w:unhideWhenUsed="1" w:qFormat="1"/>
    <w:lsdException w:name="Body Text Indent 2" w:semiHidden="1" w:uiPriority="62" w:unhideWhenUsed="1" w:qFormat="1"/>
    <w:lsdException w:name="Body Text Indent 3" w:semiHidden="1" w:uiPriority="62"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pPr>
    <w:rPr>
      <w:color w:val="000000" w:themeColor="text1"/>
      <w:sz w:val="24"/>
    </w:rPr>
  </w:style>
  <w:style w:type="paragraph" w:styleId="Heading1">
    <w:name w:val="heading 1"/>
    <w:basedOn w:val="z-baseHeading"/>
    <w:next w:val="Headingext1"/>
    <w:link w:val="Heading1Char"/>
    <w:uiPriority w:val="12"/>
    <w:qFormat/>
    <w:pPr>
      <w:keepNext/>
      <w:numPr>
        <w:numId w:val="3"/>
      </w:numPr>
      <w:tabs>
        <w:tab w:val="left" w:pos="0"/>
      </w:tabs>
      <w:jc w:val="left"/>
      <w:outlineLvl w:val="0"/>
    </w:pPr>
    <w:rPr>
      <w:rFonts w:asciiTheme="majorHAnsi" w:hAnsiTheme="majorHAnsi" w:cstheme="majorHAnsi"/>
      <w:b/>
      <w:color w:val="000000" w:themeColor="accent1" w:themeShade="BF"/>
    </w:rPr>
  </w:style>
  <w:style w:type="paragraph" w:styleId="Heading2">
    <w:name w:val="heading 2"/>
    <w:basedOn w:val="z-baseHeading"/>
    <w:next w:val="Headingext2"/>
    <w:link w:val="Heading2Char"/>
    <w:uiPriority w:val="12"/>
    <w:semiHidden/>
    <w:unhideWhenUsed/>
    <w:qFormat/>
    <w:pPr>
      <w:keepNext/>
      <w:numPr>
        <w:ilvl w:val="1"/>
        <w:numId w:val="3"/>
      </w:numPr>
      <w:tabs>
        <w:tab w:val="left" w:pos="0"/>
      </w:tabs>
      <w:jc w:val="left"/>
      <w:outlineLvl w:val="1"/>
    </w:pPr>
    <w:rPr>
      <w:rFonts w:asciiTheme="majorHAnsi" w:hAnsiTheme="majorHAnsi" w:cstheme="majorHAnsi"/>
      <w:b/>
      <w:i/>
      <w:color w:val="000000" w:themeColor="accent1"/>
    </w:rPr>
  </w:style>
  <w:style w:type="paragraph" w:styleId="Heading3">
    <w:name w:val="heading 3"/>
    <w:basedOn w:val="z-baseHeading"/>
    <w:next w:val="Headingext3"/>
    <w:link w:val="Heading3Char"/>
    <w:uiPriority w:val="12"/>
    <w:semiHidden/>
    <w:unhideWhenUsed/>
    <w:pPr>
      <w:keepNext/>
      <w:numPr>
        <w:ilvl w:val="2"/>
        <w:numId w:val="3"/>
      </w:numPr>
      <w:tabs>
        <w:tab w:val="left" w:pos="0"/>
      </w:tabs>
      <w:jc w:val="left"/>
      <w:outlineLvl w:val="2"/>
    </w:pPr>
    <w:rPr>
      <w:rFonts w:asciiTheme="majorHAnsi" w:hAnsiTheme="majorHAnsi" w:cstheme="majorHAnsi"/>
      <w:i/>
      <w:color w:val="000000" w:themeColor="accent1"/>
    </w:rPr>
  </w:style>
  <w:style w:type="paragraph" w:styleId="Heading4">
    <w:name w:val="heading 4"/>
    <w:basedOn w:val="z-baseHeading"/>
    <w:next w:val="Headingext4"/>
    <w:link w:val="Heading4Char"/>
    <w:uiPriority w:val="12"/>
    <w:semiHidden/>
    <w:unhideWhenUsed/>
    <w:pPr>
      <w:keepNext/>
      <w:numPr>
        <w:ilvl w:val="3"/>
        <w:numId w:val="3"/>
      </w:numPr>
      <w:tabs>
        <w:tab w:val="left" w:pos="0"/>
      </w:tabs>
      <w:jc w:val="left"/>
      <w:outlineLvl w:val="3"/>
    </w:pPr>
    <w:rPr>
      <w:rFonts w:asciiTheme="majorHAnsi" w:hAnsiTheme="majorHAnsi" w:cstheme="majorHAnsi"/>
      <w:b/>
      <w:color w:val="000000" w:themeColor="accent1"/>
      <w:u w:val="single"/>
    </w:rPr>
  </w:style>
  <w:style w:type="paragraph" w:styleId="Heading5">
    <w:name w:val="heading 5"/>
    <w:basedOn w:val="z-baseHeading"/>
    <w:next w:val="Headingext5"/>
    <w:link w:val="Heading5Char"/>
    <w:uiPriority w:val="12"/>
    <w:semiHidden/>
    <w:unhideWhenUsed/>
    <w:pPr>
      <w:keepNext/>
      <w:numPr>
        <w:ilvl w:val="4"/>
        <w:numId w:val="3"/>
      </w:numPr>
      <w:tabs>
        <w:tab w:val="left" w:pos="0"/>
      </w:tabs>
      <w:jc w:val="left"/>
      <w:outlineLvl w:val="4"/>
    </w:pPr>
    <w:rPr>
      <w:rFonts w:asciiTheme="majorHAnsi" w:hAnsiTheme="majorHAnsi" w:cstheme="majorHAnsi"/>
      <w:color w:val="000000" w:themeColor="accent1" w:themeShade="7F"/>
    </w:rPr>
  </w:style>
  <w:style w:type="paragraph" w:styleId="Heading6">
    <w:name w:val="heading 6"/>
    <w:basedOn w:val="z-baseHeading"/>
    <w:next w:val="Headingext6"/>
    <w:link w:val="Heading6Char"/>
    <w:uiPriority w:val="12"/>
    <w:semiHidden/>
    <w:unhideWhenUsed/>
    <w:pPr>
      <w:keepNext/>
      <w:numPr>
        <w:ilvl w:val="5"/>
        <w:numId w:val="3"/>
      </w:numPr>
      <w:tabs>
        <w:tab w:val="left" w:pos="0"/>
      </w:tabs>
      <w:jc w:val="left"/>
      <w:outlineLvl w:val="5"/>
    </w:pPr>
    <w:rPr>
      <w:rFonts w:asciiTheme="majorHAnsi" w:hAnsiTheme="majorHAnsi" w:cstheme="majorHAnsi"/>
      <w:color w:val="000000" w:themeColor="accent1" w:themeShade="7F"/>
    </w:rPr>
  </w:style>
  <w:style w:type="paragraph" w:styleId="Heading7">
    <w:name w:val="heading 7"/>
    <w:basedOn w:val="z-baseHeading"/>
    <w:next w:val="Headingext7"/>
    <w:link w:val="Heading7Char"/>
    <w:uiPriority w:val="12"/>
    <w:semiHidden/>
    <w:unhideWhenUsed/>
    <w:pPr>
      <w:keepNext/>
      <w:numPr>
        <w:ilvl w:val="6"/>
        <w:numId w:val="3"/>
      </w:numPr>
      <w:tabs>
        <w:tab w:val="left" w:pos="0"/>
      </w:tabs>
      <w:jc w:val="left"/>
      <w:outlineLvl w:val="6"/>
    </w:pPr>
    <w:rPr>
      <w:rFonts w:asciiTheme="majorHAnsi" w:hAnsiTheme="majorHAnsi" w:cstheme="majorHAnsi"/>
      <w:color w:val="000000" w:themeColor="accent1" w:themeShade="7F"/>
    </w:rPr>
  </w:style>
  <w:style w:type="paragraph" w:styleId="Heading8">
    <w:name w:val="heading 8"/>
    <w:basedOn w:val="z-baseHeading"/>
    <w:next w:val="Headingext8"/>
    <w:link w:val="Heading8Char"/>
    <w:uiPriority w:val="12"/>
    <w:semiHidden/>
    <w:unhideWhenUsed/>
    <w:pPr>
      <w:keepNext/>
      <w:numPr>
        <w:ilvl w:val="7"/>
        <w:numId w:val="3"/>
      </w:numPr>
      <w:tabs>
        <w:tab w:val="left" w:pos="0"/>
      </w:tabs>
      <w:jc w:val="left"/>
      <w:outlineLvl w:val="7"/>
    </w:pPr>
    <w:rPr>
      <w:rFonts w:asciiTheme="majorHAnsi" w:hAnsiTheme="majorHAnsi" w:cstheme="majorHAnsi"/>
      <w:color w:val="000000" w:themeColor="accent1" w:themeShade="7F"/>
    </w:rPr>
  </w:style>
  <w:style w:type="paragraph" w:styleId="Heading9">
    <w:name w:val="heading 9"/>
    <w:basedOn w:val="z-baseHeading"/>
    <w:next w:val="Headingext9"/>
    <w:link w:val="Heading9Char"/>
    <w:uiPriority w:val="12"/>
    <w:semiHidden/>
    <w:unhideWhenUsed/>
    <w:pPr>
      <w:keepNext/>
      <w:numPr>
        <w:ilvl w:val="8"/>
        <w:numId w:val="3"/>
      </w:numPr>
      <w:tabs>
        <w:tab w:val="left" w:pos="0"/>
      </w:tabs>
      <w:jc w:val="left"/>
      <w:outlineLvl w:val="8"/>
    </w:pPr>
    <w:rPr>
      <w:rFonts w:asciiTheme="majorHAnsi" w:hAnsiTheme="majorHAnsi" w:cstheme="majorHAnsi"/>
      <w:color w:val="00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Bloc">
    <w:name w:val="Block / Bloc"/>
    <w:basedOn w:val="Normal"/>
    <w:next w:val="BodyText"/>
    <w:link w:val="BlockBlocChar"/>
    <w:uiPriority w:val="17"/>
    <w:qFormat/>
    <w:pPr>
      <w:keepLines/>
      <w:spacing w:before="240"/>
      <w:ind w:left="720" w:right="720"/>
    </w:pPr>
    <w:rPr>
      <w:rFonts w:eastAsia="Times New Roman" w:cs="Times New Roman"/>
    </w:rPr>
  </w:style>
  <w:style w:type="paragraph" w:styleId="BodyText">
    <w:name w:val="Body Text"/>
    <w:basedOn w:val="Normal"/>
    <w:link w:val="BodyTextChar"/>
    <w:uiPriority w:val="9"/>
    <w:qFormat/>
    <w:pPr>
      <w:spacing w:before="240"/>
      <w:jc w:val="both"/>
    </w:pPr>
    <w:rPr>
      <w:rFonts w:eastAsia="Times New Roman" w:cs="Times New Roman"/>
    </w:rPr>
  </w:style>
  <w:style w:type="character" w:customStyle="1" w:styleId="BodyTextChar">
    <w:name w:val="Body Text Char"/>
    <w:basedOn w:val="DefaultParagraphFont"/>
    <w:link w:val="BodyText"/>
    <w:uiPriority w:val="9"/>
    <w:rPr>
      <w:rFonts w:eastAsia="Times New Roman" w:cs="Times New Roman"/>
      <w:color w:val="000000" w:themeColor="text1"/>
      <w:sz w:val="24"/>
    </w:rPr>
  </w:style>
  <w:style w:type="paragraph" w:styleId="BodyText2">
    <w:name w:val="Body Text 2"/>
    <w:basedOn w:val="Normal"/>
    <w:link w:val="BodyText2Char"/>
    <w:uiPriority w:val="63"/>
    <w:qFormat/>
    <w:pPr>
      <w:spacing w:before="240"/>
      <w:jc w:val="both"/>
    </w:pPr>
    <w:rPr>
      <w:rFonts w:eastAsia="Times New Roman" w:cs="Times New Roman"/>
    </w:rPr>
  </w:style>
  <w:style w:type="character" w:customStyle="1" w:styleId="BodyText2Char">
    <w:name w:val="Body Text 2 Char"/>
    <w:basedOn w:val="DefaultParagraphFont"/>
    <w:link w:val="BodyText2"/>
    <w:uiPriority w:val="63"/>
    <w:rPr>
      <w:rFonts w:eastAsia="Times New Roman" w:cs="Times New Roman"/>
      <w:color w:val="000000" w:themeColor="text1"/>
      <w:sz w:val="24"/>
    </w:rPr>
  </w:style>
  <w:style w:type="paragraph" w:styleId="BodyText3">
    <w:name w:val="Body Text 3"/>
    <w:basedOn w:val="Normal"/>
    <w:link w:val="BodyText3Char"/>
    <w:uiPriority w:val="63"/>
    <w:qFormat/>
    <w:pPr>
      <w:spacing w:before="240"/>
      <w:jc w:val="both"/>
    </w:pPr>
    <w:rPr>
      <w:rFonts w:eastAsia="Times New Roman" w:cs="Times New Roman"/>
    </w:rPr>
  </w:style>
  <w:style w:type="character" w:customStyle="1" w:styleId="BodyText3Char">
    <w:name w:val="Body Text 3 Char"/>
    <w:basedOn w:val="DefaultParagraphFont"/>
    <w:link w:val="BodyText3"/>
    <w:uiPriority w:val="63"/>
    <w:rPr>
      <w:rFonts w:eastAsia="Times New Roman" w:cs="Times New Roman"/>
      <w:color w:val="000000" w:themeColor="text1"/>
      <w:sz w:val="24"/>
    </w:rPr>
  </w:style>
  <w:style w:type="paragraph" w:styleId="BodyTextFirstIndent">
    <w:name w:val="Body Text First Indent"/>
    <w:basedOn w:val="Normal"/>
    <w:link w:val="BodyTextFirstIndentChar"/>
    <w:uiPriority w:val="60"/>
    <w:qFormat/>
    <w:pPr>
      <w:spacing w:before="240"/>
      <w:ind w:firstLine="720"/>
      <w:jc w:val="both"/>
    </w:pPr>
    <w:rPr>
      <w:rFonts w:eastAsia="Times New Roman" w:cs="Times New Roman"/>
    </w:rPr>
  </w:style>
  <w:style w:type="character" w:customStyle="1" w:styleId="BodyTextFirstIndentChar">
    <w:name w:val="Body Text First Indent Char"/>
    <w:basedOn w:val="BodyTextChar"/>
    <w:link w:val="BodyTextFirstIndent"/>
    <w:uiPriority w:val="60"/>
    <w:rPr>
      <w:rFonts w:eastAsia="Times New Roman" w:cs="Times New Roman"/>
      <w:color w:val="000000" w:themeColor="text1"/>
      <w:sz w:val="24"/>
    </w:rPr>
  </w:style>
  <w:style w:type="paragraph" w:styleId="BodyTextIndent">
    <w:name w:val="Body Text Indent"/>
    <w:basedOn w:val="Normal"/>
    <w:link w:val="BodyTextIndentChar"/>
    <w:uiPriority w:val="62"/>
    <w:qFormat/>
    <w:pPr>
      <w:spacing w:before="240"/>
      <w:ind w:left="720"/>
      <w:jc w:val="both"/>
    </w:pPr>
    <w:rPr>
      <w:rFonts w:eastAsia="Times New Roman" w:cs="Times New Roman"/>
    </w:rPr>
  </w:style>
  <w:style w:type="character" w:customStyle="1" w:styleId="BodyTextIndentChar">
    <w:name w:val="Body Text Indent Char"/>
    <w:basedOn w:val="DefaultParagraphFont"/>
    <w:link w:val="BodyTextIndent"/>
    <w:uiPriority w:val="62"/>
    <w:rPr>
      <w:rFonts w:eastAsia="Times New Roman" w:cs="Times New Roman"/>
      <w:color w:val="000000" w:themeColor="text1"/>
      <w:sz w:val="24"/>
    </w:rPr>
  </w:style>
  <w:style w:type="paragraph" w:styleId="BodyTextFirstIndent2">
    <w:name w:val="Body Text First Indent 2"/>
    <w:basedOn w:val="Normal"/>
    <w:link w:val="BodyTextFirstIndent2Char"/>
    <w:uiPriority w:val="61"/>
    <w:qFormat/>
    <w:pPr>
      <w:spacing w:before="240"/>
      <w:ind w:firstLine="1440"/>
      <w:jc w:val="both"/>
    </w:pPr>
    <w:rPr>
      <w:rFonts w:eastAsia="Times New Roman" w:cs="Times New Roman"/>
    </w:rPr>
  </w:style>
  <w:style w:type="character" w:customStyle="1" w:styleId="BodyTextFirstIndent2Char">
    <w:name w:val="Body Text First Indent 2 Char"/>
    <w:basedOn w:val="BodyTextIndentChar"/>
    <w:link w:val="BodyTextFirstIndent2"/>
    <w:uiPriority w:val="61"/>
    <w:rPr>
      <w:rFonts w:eastAsia="Times New Roman" w:cs="Times New Roman"/>
      <w:color w:val="000000" w:themeColor="text1"/>
      <w:sz w:val="24"/>
    </w:rPr>
  </w:style>
  <w:style w:type="paragraph" w:styleId="BodyTextIndent2">
    <w:name w:val="Body Text Indent 2"/>
    <w:basedOn w:val="Normal"/>
    <w:link w:val="BodyTextIndent2Char"/>
    <w:uiPriority w:val="62"/>
    <w:qFormat/>
    <w:pPr>
      <w:spacing w:before="240"/>
      <w:ind w:left="1440"/>
      <w:jc w:val="both"/>
    </w:pPr>
    <w:rPr>
      <w:rFonts w:eastAsia="Times New Roman" w:cs="Times New Roman"/>
    </w:rPr>
  </w:style>
  <w:style w:type="character" w:customStyle="1" w:styleId="BodyTextIndent2Char">
    <w:name w:val="Body Text Indent 2 Char"/>
    <w:basedOn w:val="DefaultParagraphFont"/>
    <w:link w:val="BodyTextIndent2"/>
    <w:uiPriority w:val="62"/>
    <w:rPr>
      <w:rFonts w:eastAsia="Times New Roman" w:cs="Times New Roman"/>
      <w:color w:val="000000" w:themeColor="text1"/>
      <w:sz w:val="24"/>
    </w:rPr>
  </w:style>
  <w:style w:type="paragraph" w:styleId="BodyTextIndent3">
    <w:name w:val="Body Text Indent 3"/>
    <w:basedOn w:val="Normal"/>
    <w:link w:val="BodyTextIndent3Char"/>
    <w:uiPriority w:val="62"/>
    <w:qFormat/>
    <w:pPr>
      <w:spacing w:before="240"/>
      <w:ind w:left="2160"/>
      <w:jc w:val="both"/>
    </w:pPr>
    <w:rPr>
      <w:rFonts w:eastAsia="Times New Roman" w:cs="Times New Roman"/>
    </w:rPr>
  </w:style>
  <w:style w:type="character" w:customStyle="1" w:styleId="BodyTextIndent3Char">
    <w:name w:val="Body Text Indent 3 Char"/>
    <w:basedOn w:val="DefaultParagraphFont"/>
    <w:link w:val="BodyTextIndent3"/>
    <w:uiPriority w:val="62"/>
    <w:rPr>
      <w:rFonts w:eastAsia="Times New Roman" w:cs="Times New Roman"/>
      <w:color w:val="000000" w:themeColor="text1"/>
      <w:sz w:val="24"/>
    </w:rPr>
  </w:style>
  <w:style w:type="paragraph" w:styleId="EndnoteText">
    <w:name w:val="endnote text"/>
    <w:basedOn w:val="Normal"/>
    <w:next w:val="EndnoteTextExt"/>
    <w:link w:val="EndnoteTextChar"/>
    <w:uiPriority w:val="99"/>
    <w:semiHidden/>
    <w:pPr>
      <w:spacing w:before="60"/>
      <w:ind w:left="360" w:hanging="360"/>
      <w:jc w:val="both"/>
    </w:pPr>
    <w:rPr>
      <w:rFonts w:eastAsia="Times New Roman" w:cs="Times New Roman"/>
      <w:sz w:val="20"/>
      <w:szCs w:val="20"/>
    </w:rPr>
  </w:style>
  <w:style w:type="character" w:customStyle="1" w:styleId="EndnoteTextChar">
    <w:name w:val="Endnote Text Char"/>
    <w:basedOn w:val="DefaultParagraphFont"/>
    <w:link w:val="EndnoteText"/>
    <w:uiPriority w:val="99"/>
    <w:semiHidden/>
    <w:rPr>
      <w:rFonts w:eastAsia="Times New Roman" w:cs="Times New Roman"/>
      <w:color w:val="000000" w:themeColor="text1"/>
      <w:sz w:val="20"/>
      <w:szCs w:val="20"/>
    </w:rPr>
  </w:style>
  <w:style w:type="paragraph" w:customStyle="1" w:styleId="EndnoteTextExt">
    <w:name w:val="Endnote Text Ext"/>
    <w:basedOn w:val="EndnoteText"/>
    <w:uiPriority w:val="99"/>
    <w:pPr>
      <w:ind w:firstLine="0"/>
    </w:pPr>
  </w:style>
  <w:style w:type="paragraph" w:styleId="Footer">
    <w:name w:val="footer"/>
    <w:basedOn w:val="Normal"/>
    <w:link w:val="FooterChar"/>
    <w:uiPriority w:val="99"/>
    <w:pPr>
      <w:tabs>
        <w:tab w:val="center" w:pos="4680"/>
        <w:tab w:val="right" w:pos="9360"/>
      </w:tabs>
    </w:pPr>
    <w:rPr>
      <w:rFonts w:eastAsia="Times New Roman" w:cs="Times New Roman"/>
      <w:sz w:val="16"/>
    </w:rPr>
  </w:style>
  <w:style w:type="character" w:customStyle="1" w:styleId="FooterChar">
    <w:name w:val="Footer Char"/>
    <w:basedOn w:val="DefaultParagraphFont"/>
    <w:link w:val="Footer"/>
    <w:uiPriority w:val="99"/>
    <w:rPr>
      <w:rFonts w:eastAsia="Times New Roman" w:cs="Times New Roman"/>
      <w:color w:val="000000" w:themeColor="text1"/>
      <w:sz w:val="16"/>
    </w:rPr>
  </w:style>
  <w:style w:type="paragraph" w:styleId="FootnoteText">
    <w:name w:val="footnote text"/>
    <w:basedOn w:val="Normal"/>
    <w:next w:val="FootnoteTextExt"/>
    <w:link w:val="FootnoteTextChar"/>
    <w:uiPriority w:val="99"/>
    <w:semiHidden/>
    <w:pPr>
      <w:spacing w:before="60"/>
      <w:ind w:left="360" w:hanging="360"/>
      <w:jc w:val="both"/>
    </w:pPr>
    <w:rPr>
      <w:rFonts w:eastAsia="Times New Roman" w:cs="Times New Roman"/>
      <w:sz w:val="20"/>
      <w:szCs w:val="20"/>
    </w:rPr>
  </w:style>
  <w:style w:type="character" w:customStyle="1" w:styleId="FootnoteTextChar">
    <w:name w:val="Footnote Text Char"/>
    <w:basedOn w:val="DefaultParagraphFont"/>
    <w:link w:val="FootnoteText"/>
    <w:uiPriority w:val="99"/>
    <w:semiHidden/>
    <w:rPr>
      <w:rFonts w:eastAsia="Times New Roman" w:cs="Times New Roman"/>
      <w:color w:val="000000" w:themeColor="text1"/>
      <w:sz w:val="20"/>
      <w:szCs w:val="20"/>
    </w:rPr>
  </w:style>
  <w:style w:type="paragraph" w:customStyle="1" w:styleId="FootnoteTextExt">
    <w:name w:val="Footnote Text Ext"/>
    <w:basedOn w:val="FootnoteText"/>
    <w:uiPriority w:val="99"/>
    <w:pPr>
      <w:ind w:firstLine="0"/>
    </w:pPr>
  </w:style>
  <w:style w:type="paragraph" w:styleId="Header">
    <w:name w:val="header"/>
    <w:basedOn w:val="Normal"/>
    <w:link w:val="HeaderChar"/>
    <w:uiPriority w:val="99"/>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Pr>
      <w:rFonts w:eastAsia="Times New Roman" w:cs="Times New Roman"/>
      <w:color w:val="000000" w:themeColor="text1"/>
      <w:sz w:val="24"/>
    </w:rPr>
  </w:style>
  <w:style w:type="paragraph" w:customStyle="1" w:styleId="HiddenMasque">
    <w:name w:val="Hidden / Masque"/>
    <w:basedOn w:val="Normal"/>
    <w:link w:val="HiddenMasqueChar"/>
    <w:uiPriority w:val="67"/>
    <w:qFormat/>
    <w:pPr>
      <w:spacing w:before="240"/>
    </w:pPr>
    <w:rPr>
      <w:rFonts w:ascii="Arial" w:eastAsia="Times New Roman" w:hAnsi="Arial" w:cs="Times New Roman"/>
      <w:b/>
      <w:vanish/>
      <w:color w:val="C00000"/>
      <w:sz w:val="20"/>
      <w:szCs w:val="20"/>
    </w:rPr>
  </w:style>
  <w:style w:type="paragraph" w:styleId="NoSpacing">
    <w:name w:val="No Spacing"/>
    <w:basedOn w:val="Normal"/>
    <w:uiPriority w:val="18"/>
    <w:qFormat/>
    <w:rPr>
      <w:rFonts w:eastAsia="Times New Roman" w:cs="Times New Roman"/>
      <w:szCs w:val="24"/>
    </w:rPr>
  </w:style>
  <w:style w:type="paragraph" w:customStyle="1" w:styleId="Parties">
    <w:name w:val="Parties"/>
    <w:basedOn w:val="Normal"/>
    <w:link w:val="PartiesChar"/>
    <w:uiPriority w:val="16"/>
    <w:qFormat/>
    <w:pPr>
      <w:spacing w:before="240"/>
    </w:pPr>
    <w:rPr>
      <w:rFonts w:eastAsia="Times New Roman" w:cs="Times New Roman"/>
      <w:szCs w:val="24"/>
    </w:rPr>
  </w:style>
  <w:style w:type="paragraph" w:customStyle="1" w:styleId="QuoteCitation">
    <w:name w:val="Quote / Citation"/>
    <w:basedOn w:val="Normal"/>
    <w:link w:val="QuoteCitationChar"/>
    <w:uiPriority w:val="15"/>
    <w:qFormat/>
    <w:pPr>
      <w:spacing w:before="240"/>
      <w:ind w:left="720" w:right="720"/>
      <w:jc w:val="both"/>
    </w:pPr>
    <w:rPr>
      <w:rFonts w:eastAsia="Times New Roman" w:cs="Times New Roman"/>
      <w:szCs w:val="24"/>
    </w:rPr>
  </w:style>
  <w:style w:type="paragraph" w:customStyle="1" w:styleId="TableTableau">
    <w:name w:val="Table / Tableau"/>
    <w:basedOn w:val="Normal"/>
    <w:link w:val="TableTableauChar"/>
    <w:uiPriority w:val="15"/>
    <w:qFormat/>
    <w:rPr>
      <w:rFonts w:eastAsia="Times New Roman" w:cs="Times New Roman"/>
      <w:szCs w:val="24"/>
    </w:rPr>
  </w:style>
  <w:style w:type="paragraph" w:styleId="Title">
    <w:name w:val="Title"/>
    <w:basedOn w:val="Normal"/>
    <w:link w:val="TitleChar"/>
    <w:uiPriority w:val="13"/>
    <w:qFormat/>
    <w:pPr>
      <w:keepNext/>
      <w:spacing w:before="240"/>
      <w:jc w:val="center"/>
    </w:pPr>
    <w:rPr>
      <w:rFonts w:asciiTheme="majorHAnsi" w:eastAsia="Times New Roman" w:hAnsiTheme="majorHAnsi" w:cs="Arial"/>
      <w:b/>
      <w:bCs/>
      <w:caps/>
      <w:color w:val="000000" w:themeColor="accent1" w:themeShade="BF"/>
      <w:szCs w:val="24"/>
    </w:rPr>
  </w:style>
  <w:style w:type="character" w:customStyle="1" w:styleId="TitleChar">
    <w:name w:val="Title Char"/>
    <w:basedOn w:val="DefaultParagraphFont"/>
    <w:link w:val="Title"/>
    <w:uiPriority w:val="13"/>
    <w:rPr>
      <w:rFonts w:asciiTheme="majorHAnsi" w:eastAsia="Times New Roman" w:hAnsiTheme="majorHAnsi" w:cs="Arial"/>
      <w:b/>
      <w:bCs/>
      <w:caps/>
      <w:color w:val="000000" w:themeColor="accent1" w:themeShade="BF"/>
      <w:sz w:val="24"/>
      <w:szCs w:val="24"/>
    </w:rPr>
  </w:style>
  <w:style w:type="paragraph" w:customStyle="1" w:styleId="x-firmdocflag-50">
    <w:name w:val="x-firmdocflag-50"/>
    <w:basedOn w:val="Normal"/>
    <w:uiPriority w:val="99"/>
    <w:rPr>
      <w:rFonts w:eastAsia="Times New Roman" w:cs="Times New Roman"/>
      <w:szCs w:val="24"/>
    </w:rPr>
  </w:style>
  <w:style w:type="paragraph" w:styleId="Subtitle">
    <w:name w:val="Subtitle"/>
    <w:basedOn w:val="Normal"/>
    <w:link w:val="SubtitleChar"/>
    <w:uiPriority w:val="14"/>
    <w:qFormat/>
    <w:pPr>
      <w:keepNext/>
      <w:spacing w:before="240"/>
      <w:jc w:val="center"/>
    </w:pPr>
    <w:rPr>
      <w:rFonts w:asciiTheme="majorHAnsi" w:eastAsia="Times New Roman" w:hAnsiTheme="majorHAnsi" w:cs="Arial"/>
      <w:b/>
      <w:color w:val="000000" w:themeColor="accent1"/>
      <w:szCs w:val="24"/>
    </w:rPr>
  </w:style>
  <w:style w:type="character" w:customStyle="1" w:styleId="SubtitleChar">
    <w:name w:val="Subtitle Char"/>
    <w:basedOn w:val="DefaultParagraphFont"/>
    <w:link w:val="Subtitle"/>
    <w:uiPriority w:val="14"/>
    <w:rPr>
      <w:rFonts w:asciiTheme="majorHAnsi" w:eastAsia="Times New Roman" w:hAnsiTheme="majorHAnsi" w:cs="Arial"/>
      <w:b/>
      <w:color w:val="000000" w:themeColor="accent1"/>
      <w:sz w:val="24"/>
      <w:szCs w:val="24"/>
    </w:rPr>
  </w:style>
  <w:style w:type="character" w:customStyle="1" w:styleId="BlockBlocChar">
    <w:name w:val="Block / Bloc Char"/>
    <w:basedOn w:val="DefaultParagraphFont"/>
    <w:link w:val="BlockBloc"/>
    <w:uiPriority w:val="17"/>
    <w:rPr>
      <w:rFonts w:eastAsia="Times New Roman" w:cs="Times New Roman"/>
      <w:color w:val="000000" w:themeColor="text1"/>
      <w:sz w:val="24"/>
    </w:rPr>
  </w:style>
  <w:style w:type="character" w:customStyle="1" w:styleId="QuoteCitationChar">
    <w:name w:val="Quote / Citation Char"/>
    <w:basedOn w:val="DefaultParagraphFont"/>
    <w:link w:val="QuoteCitation"/>
    <w:uiPriority w:val="15"/>
    <w:rPr>
      <w:rFonts w:eastAsia="Times New Roman" w:cs="Times New Roman"/>
      <w:color w:val="000000" w:themeColor="text1"/>
      <w:sz w:val="24"/>
      <w:szCs w:val="24"/>
    </w:rPr>
  </w:style>
  <w:style w:type="character" w:customStyle="1" w:styleId="TableTableauChar">
    <w:name w:val="Table / Tableau Char"/>
    <w:basedOn w:val="DefaultParagraphFont"/>
    <w:link w:val="TableTableau"/>
    <w:uiPriority w:val="15"/>
    <w:rPr>
      <w:rFonts w:eastAsia="Times New Roman" w:cs="Times New Roman"/>
      <w:color w:val="000000" w:themeColor="text1"/>
      <w:sz w:val="24"/>
      <w:szCs w:val="24"/>
    </w:rPr>
  </w:style>
  <w:style w:type="character" w:customStyle="1" w:styleId="HiddenMasqueChar">
    <w:name w:val="Hidden / Masque Char"/>
    <w:basedOn w:val="DefaultParagraphFont"/>
    <w:link w:val="HiddenMasque"/>
    <w:uiPriority w:val="67"/>
    <w:rPr>
      <w:rFonts w:ascii="Arial" w:eastAsia="Times New Roman" w:hAnsi="Arial" w:cs="Times New Roman"/>
      <w:b/>
      <w:vanish/>
      <w:color w:val="C00000"/>
      <w:sz w:val="20"/>
      <w:szCs w:val="20"/>
    </w:rPr>
  </w:style>
  <w:style w:type="character" w:customStyle="1" w:styleId="PartiesChar">
    <w:name w:val="Parties Char"/>
    <w:basedOn w:val="DefaultParagraphFont"/>
    <w:link w:val="Parties"/>
    <w:uiPriority w:val="16"/>
    <w:rPr>
      <w:rFonts w:eastAsia="Times New Roman" w:cs="Times New Roman"/>
      <w:color w:val="000000" w:themeColor="text1"/>
      <w:sz w:val="24"/>
      <w:szCs w:val="24"/>
    </w:rPr>
  </w:style>
  <w:style w:type="numbering" w:customStyle="1" w:styleId="z-listNumA">
    <w:name w:val="z-list Num_A"/>
    <w:basedOn w:val="NoList"/>
    <w:pPr>
      <w:numPr>
        <w:numId w:val="1"/>
      </w:numPr>
    </w:pPr>
  </w:style>
  <w:style w:type="paragraph" w:customStyle="1" w:styleId="z-baseNumA">
    <w:name w:val="z-base Num_A"/>
    <w:pPr>
      <w:spacing w:before="240" w:after="0" w:line="240" w:lineRule="auto"/>
      <w:jc w:val="both"/>
    </w:pPr>
    <w:rPr>
      <w:rFonts w:cstheme="minorHAnsi"/>
      <w:color w:val="000000" w:themeColor="text1"/>
      <w:sz w:val="24"/>
    </w:rPr>
  </w:style>
  <w:style w:type="paragraph" w:customStyle="1" w:styleId="NumA1">
    <w:name w:val="Num_A 1"/>
    <w:basedOn w:val="z-baseNumA"/>
    <w:next w:val="NumA2"/>
    <w:uiPriority w:val="19"/>
    <w:qFormat/>
    <w:pPr>
      <w:keepNext/>
      <w:numPr>
        <w:numId w:val="6"/>
      </w:numPr>
      <w:jc w:val="left"/>
      <w:outlineLvl w:val="0"/>
    </w:pPr>
    <w:rPr>
      <w:rFonts w:asciiTheme="majorHAnsi" w:hAnsiTheme="majorHAnsi" w:cstheme="majorHAnsi"/>
      <w:b/>
      <w:caps/>
      <w:color w:val="000000" w:themeColor="accent1"/>
    </w:rPr>
  </w:style>
  <w:style w:type="paragraph" w:customStyle="1" w:styleId="NumAext1">
    <w:name w:val="Num_A ext 1"/>
    <w:basedOn w:val="z-baseNumA"/>
    <w:uiPriority w:val="20"/>
    <w:qFormat/>
  </w:style>
  <w:style w:type="paragraph" w:customStyle="1" w:styleId="NumA2">
    <w:name w:val="Num_A 2"/>
    <w:basedOn w:val="z-baseNumA"/>
    <w:next w:val="NumAext2"/>
    <w:uiPriority w:val="19"/>
    <w:qFormat/>
    <w:pPr>
      <w:keepNext/>
      <w:numPr>
        <w:ilvl w:val="1"/>
        <w:numId w:val="6"/>
      </w:numPr>
      <w:jc w:val="left"/>
      <w:outlineLvl w:val="1"/>
    </w:pPr>
    <w:rPr>
      <w:rFonts w:asciiTheme="majorHAnsi" w:hAnsiTheme="majorHAnsi" w:cstheme="majorHAnsi"/>
      <w:b/>
      <w:color w:val="000000" w:themeColor="accent1"/>
    </w:rPr>
  </w:style>
  <w:style w:type="paragraph" w:customStyle="1" w:styleId="NumAext2">
    <w:name w:val="Num_A ext 2"/>
    <w:basedOn w:val="z-baseNumA"/>
    <w:uiPriority w:val="20"/>
    <w:qFormat/>
  </w:style>
  <w:style w:type="paragraph" w:customStyle="1" w:styleId="NumA3">
    <w:name w:val="Num_A 3"/>
    <w:basedOn w:val="z-baseNumA"/>
    <w:uiPriority w:val="19"/>
    <w:qFormat/>
    <w:pPr>
      <w:numPr>
        <w:ilvl w:val="2"/>
        <w:numId w:val="6"/>
      </w:numPr>
    </w:pPr>
  </w:style>
  <w:style w:type="paragraph" w:customStyle="1" w:styleId="NumAext3">
    <w:name w:val="Num_A ext 3"/>
    <w:basedOn w:val="z-baseNumA"/>
    <w:uiPriority w:val="20"/>
    <w:qFormat/>
    <w:pPr>
      <w:ind w:left="720"/>
    </w:pPr>
  </w:style>
  <w:style w:type="paragraph" w:customStyle="1" w:styleId="NumA4">
    <w:name w:val="Num_A 4"/>
    <w:basedOn w:val="z-baseNumA"/>
    <w:uiPriority w:val="19"/>
    <w:pPr>
      <w:numPr>
        <w:ilvl w:val="3"/>
        <w:numId w:val="6"/>
      </w:numPr>
    </w:pPr>
  </w:style>
  <w:style w:type="paragraph" w:customStyle="1" w:styleId="NumAext4">
    <w:name w:val="Num_A ext 4"/>
    <w:basedOn w:val="z-baseNumA"/>
    <w:uiPriority w:val="20"/>
    <w:pPr>
      <w:ind w:left="1440"/>
    </w:pPr>
  </w:style>
  <w:style w:type="paragraph" w:customStyle="1" w:styleId="NumA5">
    <w:name w:val="Num_A 5"/>
    <w:basedOn w:val="z-baseNumA"/>
    <w:uiPriority w:val="19"/>
    <w:pPr>
      <w:numPr>
        <w:ilvl w:val="4"/>
        <w:numId w:val="6"/>
      </w:numPr>
    </w:pPr>
  </w:style>
  <w:style w:type="paragraph" w:customStyle="1" w:styleId="NumAext5">
    <w:name w:val="Num_A ext 5"/>
    <w:basedOn w:val="z-baseNumA"/>
    <w:uiPriority w:val="20"/>
    <w:pPr>
      <w:ind w:left="2160"/>
    </w:pPr>
  </w:style>
  <w:style w:type="paragraph" w:customStyle="1" w:styleId="NumA6">
    <w:name w:val="Num_A 6"/>
    <w:basedOn w:val="z-baseNumA"/>
    <w:uiPriority w:val="19"/>
    <w:pPr>
      <w:numPr>
        <w:ilvl w:val="5"/>
        <w:numId w:val="6"/>
      </w:numPr>
    </w:pPr>
  </w:style>
  <w:style w:type="paragraph" w:customStyle="1" w:styleId="NumAext6">
    <w:name w:val="Num_A ext 6"/>
    <w:basedOn w:val="z-baseNumA"/>
    <w:uiPriority w:val="20"/>
    <w:pPr>
      <w:ind w:left="2880"/>
    </w:pPr>
  </w:style>
  <w:style w:type="paragraph" w:customStyle="1" w:styleId="NumA7">
    <w:name w:val="Num_A 7"/>
    <w:basedOn w:val="z-baseNumA"/>
    <w:uiPriority w:val="19"/>
    <w:pPr>
      <w:numPr>
        <w:ilvl w:val="6"/>
        <w:numId w:val="6"/>
      </w:numPr>
    </w:pPr>
  </w:style>
  <w:style w:type="paragraph" w:customStyle="1" w:styleId="NumAext7">
    <w:name w:val="Num_A ext 7"/>
    <w:basedOn w:val="z-baseNumA"/>
    <w:uiPriority w:val="20"/>
    <w:pPr>
      <w:ind w:left="3600"/>
    </w:pPr>
  </w:style>
  <w:style w:type="paragraph" w:customStyle="1" w:styleId="NumA8">
    <w:name w:val="Num_A 8"/>
    <w:basedOn w:val="z-baseNumA"/>
    <w:uiPriority w:val="19"/>
    <w:pPr>
      <w:numPr>
        <w:ilvl w:val="7"/>
        <w:numId w:val="6"/>
      </w:numPr>
    </w:pPr>
  </w:style>
  <w:style w:type="paragraph" w:customStyle="1" w:styleId="NumAext8">
    <w:name w:val="Num_A ext 8"/>
    <w:basedOn w:val="z-baseNumA"/>
    <w:uiPriority w:val="20"/>
    <w:pPr>
      <w:ind w:left="4320"/>
    </w:pPr>
  </w:style>
  <w:style w:type="paragraph" w:customStyle="1" w:styleId="NumA9">
    <w:name w:val="Num_A 9"/>
    <w:basedOn w:val="z-baseNumA"/>
    <w:uiPriority w:val="19"/>
    <w:pPr>
      <w:numPr>
        <w:ilvl w:val="8"/>
        <w:numId w:val="6"/>
      </w:numPr>
    </w:pPr>
  </w:style>
  <w:style w:type="paragraph" w:customStyle="1" w:styleId="NumAext9">
    <w:name w:val="Num_A ext 9"/>
    <w:basedOn w:val="z-baseNumA"/>
    <w:uiPriority w:val="20"/>
    <w:pPr>
      <w:ind w:left="5040"/>
    </w:pPr>
  </w:style>
  <w:style w:type="numbering" w:customStyle="1" w:styleId="z-listBullet">
    <w:name w:val="z-list Bullet"/>
    <w:basedOn w:val="NoList"/>
    <w:pPr>
      <w:numPr>
        <w:numId w:val="2"/>
      </w:numPr>
    </w:pPr>
  </w:style>
  <w:style w:type="paragraph" w:customStyle="1" w:styleId="z-baseBullet">
    <w:name w:val="z-base Bullet"/>
    <w:pPr>
      <w:spacing w:before="240" w:after="0" w:line="240" w:lineRule="auto"/>
      <w:jc w:val="both"/>
    </w:pPr>
    <w:rPr>
      <w:rFonts w:cstheme="minorHAnsi"/>
      <w:color w:val="000000" w:themeColor="text1"/>
      <w:sz w:val="24"/>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pPr>
      <w:ind w:left="2160"/>
    </w:pPr>
  </w:style>
  <w:style w:type="paragraph" w:customStyle="1" w:styleId="Bullet4">
    <w:name w:val="Bullet 4"/>
    <w:basedOn w:val="z-baseBullet"/>
    <w:uiPriority w:val="29"/>
    <w:pPr>
      <w:numPr>
        <w:ilvl w:val="3"/>
        <w:numId w:val="2"/>
      </w:numPr>
    </w:pPr>
  </w:style>
  <w:style w:type="paragraph" w:customStyle="1" w:styleId="Bulletext4">
    <w:name w:val="Bullet ext 4"/>
    <w:basedOn w:val="z-baseBullet"/>
    <w:next w:val="Bullet4"/>
    <w:uiPriority w:val="30"/>
    <w:pPr>
      <w:ind w:left="2880"/>
    </w:pPr>
  </w:style>
  <w:style w:type="paragraph" w:customStyle="1" w:styleId="Bullet5">
    <w:name w:val="Bullet 5"/>
    <w:basedOn w:val="z-baseBullet"/>
    <w:uiPriority w:val="29"/>
    <w:pPr>
      <w:numPr>
        <w:ilvl w:val="4"/>
        <w:numId w:val="2"/>
      </w:numPr>
    </w:pPr>
  </w:style>
  <w:style w:type="paragraph" w:customStyle="1" w:styleId="Bulletext5">
    <w:name w:val="Bullet ext 5"/>
    <w:basedOn w:val="z-baseBullet"/>
    <w:next w:val="Bullet5"/>
    <w:uiPriority w:val="30"/>
    <w:pPr>
      <w:ind w:left="3600"/>
    </w:pPr>
  </w:style>
  <w:style w:type="paragraph" w:customStyle="1" w:styleId="Bullet6">
    <w:name w:val="Bullet 6"/>
    <w:basedOn w:val="z-baseBullet"/>
    <w:uiPriority w:val="29"/>
    <w:pPr>
      <w:numPr>
        <w:ilvl w:val="5"/>
        <w:numId w:val="2"/>
      </w:numPr>
    </w:pPr>
  </w:style>
  <w:style w:type="paragraph" w:customStyle="1" w:styleId="Bulletext6">
    <w:name w:val="Bullet ext 6"/>
    <w:basedOn w:val="z-baseBullet"/>
    <w:next w:val="Bullet6"/>
    <w:uiPriority w:val="30"/>
    <w:pPr>
      <w:ind w:left="4320"/>
    </w:pPr>
  </w:style>
  <w:style w:type="paragraph" w:customStyle="1" w:styleId="Bullet7">
    <w:name w:val="Bullet 7"/>
    <w:basedOn w:val="z-baseBullet"/>
    <w:uiPriority w:val="29"/>
    <w:pPr>
      <w:numPr>
        <w:ilvl w:val="6"/>
        <w:numId w:val="2"/>
      </w:numPr>
    </w:pPr>
  </w:style>
  <w:style w:type="paragraph" w:customStyle="1" w:styleId="Bulletext7">
    <w:name w:val="Bullet ext 7"/>
    <w:basedOn w:val="z-baseBullet"/>
    <w:next w:val="Bullet7"/>
    <w:uiPriority w:val="30"/>
    <w:pPr>
      <w:ind w:left="5040"/>
    </w:pPr>
  </w:style>
  <w:style w:type="paragraph" w:customStyle="1" w:styleId="Bullet8">
    <w:name w:val="Bullet 8"/>
    <w:basedOn w:val="z-baseBullet"/>
    <w:uiPriority w:val="29"/>
    <w:pPr>
      <w:numPr>
        <w:ilvl w:val="7"/>
        <w:numId w:val="2"/>
      </w:numPr>
    </w:pPr>
  </w:style>
  <w:style w:type="paragraph" w:customStyle="1" w:styleId="Bulletext8">
    <w:name w:val="Bullet ext 8"/>
    <w:basedOn w:val="z-baseBullet"/>
    <w:next w:val="Bullet8"/>
    <w:uiPriority w:val="30"/>
    <w:pPr>
      <w:ind w:left="5760"/>
    </w:pPr>
  </w:style>
  <w:style w:type="paragraph" w:customStyle="1" w:styleId="Bullet9">
    <w:name w:val="Bullet 9"/>
    <w:basedOn w:val="z-baseBullet"/>
    <w:uiPriority w:val="29"/>
    <w:pPr>
      <w:numPr>
        <w:ilvl w:val="8"/>
        <w:numId w:val="2"/>
      </w:numPr>
    </w:pPr>
  </w:style>
  <w:style w:type="paragraph" w:customStyle="1" w:styleId="Bulletext9">
    <w:name w:val="Bullet ext 9"/>
    <w:basedOn w:val="z-baseBullet"/>
    <w:next w:val="Bullet9"/>
    <w:uiPriority w:val="30"/>
    <w:pPr>
      <w:ind w:left="6480"/>
    </w:pPr>
  </w:style>
  <w:style w:type="character" w:customStyle="1" w:styleId="Heading1Char">
    <w:name w:val="Heading 1 Char"/>
    <w:basedOn w:val="DefaultParagraphFont"/>
    <w:link w:val="Heading1"/>
    <w:uiPriority w:val="12"/>
    <w:rPr>
      <w:rFonts w:asciiTheme="majorHAnsi" w:hAnsiTheme="majorHAnsi" w:cstheme="majorHAnsi"/>
      <w:b/>
      <w:color w:val="000000" w:themeColor="accent1" w:themeShade="BF"/>
      <w:sz w:val="24"/>
    </w:rPr>
  </w:style>
  <w:style w:type="character" w:customStyle="1" w:styleId="Heading2Char">
    <w:name w:val="Heading 2 Char"/>
    <w:basedOn w:val="DefaultParagraphFont"/>
    <w:link w:val="Heading2"/>
    <w:uiPriority w:val="12"/>
    <w:semiHidden/>
    <w:rPr>
      <w:rFonts w:asciiTheme="majorHAnsi" w:hAnsiTheme="majorHAnsi" w:cstheme="majorHAnsi"/>
      <w:b/>
      <w:i/>
      <w:color w:val="000000" w:themeColor="accent1"/>
      <w:sz w:val="24"/>
    </w:rPr>
  </w:style>
  <w:style w:type="character" w:customStyle="1" w:styleId="Heading3Char">
    <w:name w:val="Heading 3 Char"/>
    <w:basedOn w:val="DefaultParagraphFont"/>
    <w:link w:val="Heading3"/>
    <w:uiPriority w:val="12"/>
    <w:semiHidden/>
    <w:rPr>
      <w:rFonts w:asciiTheme="majorHAnsi" w:hAnsiTheme="majorHAnsi" w:cstheme="majorHAnsi"/>
      <w:i/>
      <w:color w:val="000000" w:themeColor="accent1"/>
      <w:sz w:val="24"/>
    </w:rPr>
  </w:style>
  <w:style w:type="character" w:customStyle="1" w:styleId="Heading4Char">
    <w:name w:val="Heading 4 Char"/>
    <w:basedOn w:val="DefaultParagraphFont"/>
    <w:link w:val="Heading4"/>
    <w:uiPriority w:val="12"/>
    <w:semiHidden/>
    <w:rPr>
      <w:rFonts w:asciiTheme="majorHAnsi" w:hAnsiTheme="majorHAnsi" w:cstheme="majorHAnsi"/>
      <w:b/>
      <w:color w:val="000000" w:themeColor="accent1"/>
      <w:sz w:val="24"/>
      <w:u w:val="single"/>
    </w:rPr>
  </w:style>
  <w:style w:type="character" w:customStyle="1" w:styleId="Heading5Char">
    <w:name w:val="Heading 5 Char"/>
    <w:basedOn w:val="DefaultParagraphFont"/>
    <w:link w:val="Heading5"/>
    <w:uiPriority w:val="12"/>
    <w:semiHidden/>
    <w:rPr>
      <w:rFonts w:asciiTheme="majorHAnsi" w:hAnsiTheme="majorHAnsi" w:cstheme="majorHAnsi"/>
      <w:color w:val="000000" w:themeColor="accent1" w:themeShade="7F"/>
      <w:sz w:val="24"/>
    </w:rPr>
  </w:style>
  <w:style w:type="character" w:customStyle="1" w:styleId="Heading6Char">
    <w:name w:val="Heading 6 Char"/>
    <w:basedOn w:val="DefaultParagraphFont"/>
    <w:link w:val="Heading6"/>
    <w:uiPriority w:val="12"/>
    <w:semiHidden/>
    <w:rPr>
      <w:rFonts w:asciiTheme="majorHAnsi" w:hAnsiTheme="majorHAnsi" w:cstheme="majorHAnsi"/>
      <w:color w:val="000000" w:themeColor="accent1" w:themeShade="7F"/>
      <w:sz w:val="24"/>
    </w:rPr>
  </w:style>
  <w:style w:type="character" w:customStyle="1" w:styleId="Heading7Char">
    <w:name w:val="Heading 7 Char"/>
    <w:basedOn w:val="DefaultParagraphFont"/>
    <w:link w:val="Heading7"/>
    <w:uiPriority w:val="12"/>
    <w:semiHidden/>
    <w:rPr>
      <w:rFonts w:asciiTheme="majorHAnsi" w:hAnsiTheme="majorHAnsi" w:cstheme="majorHAnsi"/>
      <w:color w:val="000000" w:themeColor="accent1" w:themeShade="7F"/>
      <w:sz w:val="24"/>
    </w:rPr>
  </w:style>
  <w:style w:type="character" w:customStyle="1" w:styleId="Heading8Char">
    <w:name w:val="Heading 8 Char"/>
    <w:basedOn w:val="DefaultParagraphFont"/>
    <w:link w:val="Heading8"/>
    <w:uiPriority w:val="12"/>
    <w:semiHidden/>
    <w:rPr>
      <w:rFonts w:asciiTheme="majorHAnsi" w:hAnsiTheme="majorHAnsi" w:cstheme="majorHAnsi"/>
      <w:color w:val="000000" w:themeColor="accent1" w:themeShade="7F"/>
      <w:sz w:val="24"/>
    </w:rPr>
  </w:style>
  <w:style w:type="character" w:customStyle="1" w:styleId="Heading9Char">
    <w:name w:val="Heading 9 Char"/>
    <w:basedOn w:val="DefaultParagraphFont"/>
    <w:link w:val="Heading9"/>
    <w:uiPriority w:val="12"/>
    <w:semiHidden/>
    <w:rPr>
      <w:rFonts w:asciiTheme="majorHAnsi" w:hAnsiTheme="majorHAnsi" w:cstheme="majorHAnsi"/>
      <w:color w:val="000000" w:themeColor="accent1" w:themeShade="7F"/>
      <w:sz w:val="24"/>
    </w:rPr>
  </w:style>
  <w:style w:type="numbering" w:customStyle="1" w:styleId="z-listHeading">
    <w:name w:val="z-list Heading"/>
    <w:basedOn w:val="NoList"/>
    <w:pPr>
      <w:numPr>
        <w:numId w:val="3"/>
      </w:numPr>
    </w:pPr>
  </w:style>
  <w:style w:type="paragraph" w:customStyle="1" w:styleId="z-baseHeading">
    <w:name w:val="z-base Heading"/>
    <w:pPr>
      <w:spacing w:before="240" w:after="0" w:line="240" w:lineRule="auto"/>
      <w:jc w:val="both"/>
    </w:pPr>
    <w:rPr>
      <w:rFonts w:cstheme="minorHAnsi"/>
      <w:color w:val="000000" w:themeColor="text1"/>
      <w:sz w:val="24"/>
    </w:rPr>
  </w:style>
  <w:style w:type="paragraph" w:customStyle="1" w:styleId="Headingext1">
    <w:name w:val="Heading ext 1"/>
    <w:basedOn w:val="z-baseHeading"/>
    <w:uiPriority w:val="13"/>
    <w:qFormat/>
  </w:style>
  <w:style w:type="paragraph" w:customStyle="1" w:styleId="Headingext2">
    <w:name w:val="Heading ext 2"/>
    <w:basedOn w:val="z-baseHeading"/>
    <w:uiPriority w:val="13"/>
    <w:qFormat/>
  </w:style>
  <w:style w:type="paragraph" w:customStyle="1" w:styleId="Headingext3">
    <w:name w:val="Heading ext 3"/>
    <w:basedOn w:val="z-baseHeading"/>
    <w:uiPriority w:val="13"/>
  </w:style>
  <w:style w:type="paragraph" w:customStyle="1" w:styleId="Headingext4">
    <w:name w:val="Heading ext 4"/>
    <w:basedOn w:val="z-baseHeading"/>
    <w:uiPriority w:val="13"/>
  </w:style>
  <w:style w:type="paragraph" w:customStyle="1" w:styleId="Headingext5">
    <w:name w:val="Heading ext 5"/>
    <w:basedOn w:val="z-baseHeading"/>
    <w:uiPriority w:val="13"/>
  </w:style>
  <w:style w:type="paragraph" w:customStyle="1" w:styleId="Headingext6">
    <w:name w:val="Heading ext 6"/>
    <w:basedOn w:val="z-baseHeading"/>
    <w:uiPriority w:val="13"/>
  </w:style>
  <w:style w:type="paragraph" w:customStyle="1" w:styleId="Headingext7">
    <w:name w:val="Heading ext 7"/>
    <w:basedOn w:val="z-baseHeading"/>
    <w:uiPriority w:val="13"/>
  </w:style>
  <w:style w:type="paragraph" w:customStyle="1" w:styleId="Headingext8">
    <w:name w:val="Heading ext 8"/>
    <w:basedOn w:val="z-baseHeading"/>
    <w:uiPriority w:val="13"/>
  </w:style>
  <w:style w:type="paragraph" w:customStyle="1" w:styleId="Headingext9">
    <w:name w:val="Heading ext 9"/>
    <w:basedOn w:val="z-baseHeading"/>
    <w:uiPriority w:val="13"/>
  </w:style>
  <w:style w:type="character" w:styleId="Emphasis">
    <w:name w:val="Emphasis"/>
    <w:basedOn w:val="DefaultParagraphFont"/>
    <w:uiPriority w:val="20"/>
    <w:rPr>
      <w:i/>
      <w:iCs/>
    </w:rPr>
  </w:style>
  <w:style w:type="character" w:styleId="Strong">
    <w:name w:val="Strong"/>
    <w:basedOn w:val="DefaultParagraphFont"/>
    <w:uiPriority w:val="22"/>
    <w:rPr>
      <w:b/>
      <w:bCs/>
    </w:rPr>
  </w:style>
  <w:style w:type="character" w:styleId="IntenseEmphasis">
    <w:name w:val="Intense Emphasis"/>
    <w:basedOn w:val="DefaultParagraphFont"/>
    <w:uiPriority w:val="21"/>
    <w:rPr>
      <w:b/>
      <w:bCs/>
      <w:i/>
      <w:iCs/>
      <w:color w:val="000000" w:themeColor="accent1"/>
    </w:rPr>
  </w:style>
  <w:style w:type="character" w:styleId="SubtleEmphasis">
    <w:name w:val="Subtle Emphasis"/>
    <w:basedOn w:val="DefaultParagraphFont"/>
    <w:uiPriority w:val="19"/>
    <w:rPr>
      <w:i/>
      <w:iCs/>
      <w:color w:val="808080" w:themeColor="text1" w:themeTint="7F"/>
    </w:rPr>
  </w:style>
  <w:style w:type="paragraph" w:styleId="IntenseQuote">
    <w:name w:val="Intense Quote"/>
    <w:basedOn w:val="Normal"/>
    <w:next w:val="Normal"/>
    <w:link w:val="IntenseQuoteChar"/>
    <w:uiPriority w:val="30"/>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Pr>
      <w:b/>
      <w:bCs/>
      <w:i/>
      <w:iCs/>
      <w:color w:val="000000" w:themeColor="accent1"/>
      <w:sz w:val="24"/>
    </w:rPr>
  </w:style>
  <w:style w:type="character" w:styleId="BookTitle">
    <w:name w:val="Book Title"/>
    <w:basedOn w:val="DefaultParagraphFont"/>
    <w:uiPriority w:val="33"/>
    <w:rPr>
      <w:b/>
      <w:bCs/>
      <w:smallCaps/>
      <w:spacing w:val="5"/>
    </w:rPr>
  </w:style>
  <w:style w:type="paragraph" w:styleId="ListParagraph">
    <w:name w:val="List Paragraph"/>
    <w:basedOn w:val="Normal"/>
    <w:uiPriority w:val="34"/>
    <w:pPr>
      <w:ind w:left="720"/>
      <w:contextualSpacing/>
    </w:pPr>
  </w:style>
  <w:style w:type="character" w:styleId="IntenseReference">
    <w:name w:val="Intense Reference"/>
    <w:basedOn w:val="DefaultParagraphFont"/>
    <w:uiPriority w:val="32"/>
    <w:rPr>
      <w:b/>
      <w:bCs/>
      <w:smallCaps/>
      <w:color w:val="F2F2F2" w:themeColor="accent2"/>
      <w:spacing w:val="5"/>
      <w:u w:val="single"/>
    </w:rPr>
  </w:style>
  <w:style w:type="character" w:styleId="SubtleReference">
    <w:name w:val="Subtle Reference"/>
    <w:basedOn w:val="DefaultParagraphFont"/>
    <w:uiPriority w:val="31"/>
    <w:rPr>
      <w:smallCaps/>
      <w:color w:val="F2F2F2" w:themeColor="accent2"/>
      <w:u w:val="single"/>
    </w:rPr>
  </w:style>
  <w:style w:type="paragraph" w:styleId="Quote">
    <w:name w:val="Quote"/>
    <w:basedOn w:val="Normal"/>
    <w:next w:val="Normal"/>
    <w:link w:val="QuoteChar"/>
    <w:uiPriority w:val="29"/>
    <w:rPr>
      <w:i/>
      <w:iCs/>
    </w:rPr>
  </w:style>
  <w:style w:type="character" w:customStyle="1" w:styleId="QuoteChar">
    <w:name w:val="Quote Char"/>
    <w:basedOn w:val="DefaultParagraphFont"/>
    <w:link w:val="Quote"/>
    <w:uiPriority w:val="29"/>
    <w:rPr>
      <w:i/>
      <w:iCs/>
      <w:color w:val="000000" w:themeColor="text1"/>
      <w:sz w:val="24"/>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C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5B"/>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Firm">
  <a:themeElements>
    <a:clrScheme name="Firm1">
      <a:dk1>
        <a:sysClr val="windowText" lastClr="000000"/>
      </a:dk1>
      <a:lt1>
        <a:sysClr val="window" lastClr="FFFFFF"/>
      </a:lt1>
      <a:dk2>
        <a:srgbClr val="000000"/>
      </a:dk2>
      <a:lt2>
        <a:srgbClr val="FFFFFF"/>
      </a:lt2>
      <a:accent1>
        <a:srgbClr val="000000"/>
      </a:accent1>
      <a:accent2>
        <a:srgbClr val="F2F2F2"/>
      </a:accent2>
      <a:accent3>
        <a:srgbClr val="7F7F7F"/>
      </a:accent3>
      <a:accent4>
        <a:srgbClr val="D8D8D8"/>
      </a:accent4>
      <a:accent5>
        <a:srgbClr val="595959"/>
      </a:accent5>
      <a:accent6>
        <a:srgbClr val="BFBFBF"/>
      </a:accent6>
      <a:hlink>
        <a:srgbClr val="0000FF"/>
      </a:hlink>
      <a:folHlink>
        <a:srgbClr val="800080"/>
      </a:folHlink>
    </a:clrScheme>
    <a:fontScheme name="Firm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6447</Words>
  <Characters>36748</Characters>
  <Application>Microsoft Office Word</Application>
  <DocSecurity>0</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2020-12-09T18:51:00Z</dcterms:created>
  <dcterms:modified xsi:type="dcterms:W3CDTF">2020-12-09T18:51:00Z</dcterms:modified>
</cp:coreProperties>
</file>